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F44" w:rsidRDefault="00F93F44" w:rsidP="00F93F44">
      <w:pPr>
        <w:rPr>
          <w:rFonts w:ascii="Times New Roman" w:hAnsi="Times New Roman" w:cs="Times New Roman"/>
          <w:color w:val="000000" w:themeColor="text1"/>
          <w:sz w:val="26"/>
          <w:szCs w:val="26"/>
          <w:lang w:val="en-GB"/>
        </w:rPr>
        <w:sectPr w:rsidR="00F93F44">
          <w:pgSz w:w="11905" w:h="16837"/>
          <w:pgMar w:top="851" w:right="851" w:bottom="851" w:left="1418" w:header="1134" w:footer="0" w:gutter="0"/>
          <w:cols w:space="720"/>
        </w:sectPr>
      </w:pPr>
    </w:p>
    <w:p w:rsidR="00F93F44" w:rsidRDefault="00F93F44" w:rsidP="00F93F44">
      <w:pPr>
        <w:autoSpaceDE w:val="0"/>
        <w:autoSpaceDN w:val="0"/>
        <w:adjustRightInd w:val="0"/>
        <w:spacing w:after="120"/>
        <w:jc w:val="center"/>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lastRenderedPageBreak/>
        <w:t>І Syllabus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1532"/>
        <w:gridCol w:w="1024"/>
        <w:gridCol w:w="5800"/>
      </w:tblGrid>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pStyle w:val="HTML"/>
              <w:shd w:val="clear" w:color="auto" w:fill="F8F9FA"/>
              <w:spacing w:line="360" w:lineRule="auto"/>
              <w:rPr>
                <w:rFonts w:ascii="Times New Roman" w:hAnsi="Times New Roman" w:cs="Times New Roman"/>
                <w:b/>
                <w:bCs/>
                <w:color w:val="000000" w:themeColor="text1"/>
                <w:sz w:val="26"/>
                <w:szCs w:val="26"/>
                <w:lang w:val="en-GB" w:eastAsia="ru-RU"/>
              </w:rPr>
            </w:pPr>
            <w:r>
              <w:rPr>
                <w:rFonts w:ascii="Times New Roman" w:hAnsi="Times New Roman" w:cs="Times New Roman"/>
                <w:b/>
                <w:bCs/>
                <w:color w:val="000000" w:themeColor="text1"/>
                <w:sz w:val="26"/>
                <w:szCs w:val="26"/>
                <w:lang w:val="en-GB" w:eastAsia="ru-RU"/>
              </w:rPr>
              <w:t>1. </w:t>
            </w:r>
            <w:r>
              <w:rPr>
                <w:rFonts w:ascii="Times New Roman" w:eastAsia="Arial Unicode MS" w:hAnsi="Times New Roman" w:cs="Times New Roman"/>
                <w:b/>
                <w:color w:val="000000" w:themeColor="text1"/>
                <w:sz w:val="26"/>
                <w:szCs w:val="26"/>
                <w:lang w:val="en-GB" w:eastAsia="ru-RU"/>
              </w:rPr>
              <w:t>General information on the course</w:t>
            </w:r>
          </w:p>
        </w:tc>
      </w:tr>
      <w:tr w:rsidR="00F93F44" w:rsidTr="00F93F4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Full course name</w:t>
            </w:r>
            <w:r>
              <w:rPr>
                <w:rFonts w:ascii="Times New Roman" w:hAnsi="Times New Roman" w:cs="Times New Roman"/>
                <w:bCs/>
                <w:iCs/>
                <w:color w:val="000000" w:themeColor="text1"/>
                <w:sz w:val="26"/>
                <w:szCs w:val="26"/>
                <w:lang w:val="en-GB"/>
              </w:rPr>
              <w:t xml:space="preserve"> </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Basics of European Law</w:t>
            </w:r>
          </w:p>
        </w:tc>
      </w:tr>
      <w:tr w:rsidR="00F93F44" w:rsidTr="00F93F4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Cs/>
                <w:iCs/>
                <w:color w:val="000000" w:themeColor="text1"/>
                <w:sz w:val="26"/>
                <w:szCs w:val="26"/>
                <w:lang w:val="en-GB"/>
              </w:rPr>
            </w:pPr>
            <w:r>
              <w:rPr>
                <w:rFonts w:ascii="Times New Roman" w:hAnsi="Times New Roman" w:cs="Times New Roman"/>
                <w:bCs/>
                <w:color w:val="000000" w:themeColor="text1"/>
                <w:sz w:val="26"/>
                <w:szCs w:val="26"/>
                <w:lang w:val="en-GB"/>
              </w:rPr>
              <w:t>Full official name of a higher education institution</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Sumy State University</w:t>
            </w:r>
          </w:p>
        </w:tc>
      </w:tr>
      <w:tr w:rsidR="00F93F44" w:rsidTr="00F93F4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Full name of a structural unit</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Educational-Scientific Institute of Law</w:t>
            </w:r>
          </w:p>
        </w:tc>
      </w:tr>
      <w:tr w:rsidR="00F93F44" w:rsidTr="00F93F4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Developers</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jc w:val="both"/>
              <w:rPr>
                <w:rFonts w:ascii="Times New Roman" w:hAnsi="Times New Roman" w:cs="Times New Roman"/>
                <w:color w:val="000000" w:themeColor="text1"/>
                <w:sz w:val="26"/>
                <w:szCs w:val="26"/>
                <w:lang w:val="en-GB"/>
              </w:rPr>
            </w:pPr>
            <w:proofErr w:type="spellStart"/>
            <w:r>
              <w:rPr>
                <w:rFonts w:ascii="Times New Roman" w:hAnsi="Times New Roman" w:cs="Times New Roman"/>
                <w:color w:val="000000" w:themeColor="text1"/>
                <w:sz w:val="26"/>
                <w:szCs w:val="26"/>
                <w:lang w:val="en-GB"/>
              </w:rPr>
              <w:t>Vladyslava</w:t>
            </w:r>
            <w:proofErr w:type="spellEnd"/>
            <w:r>
              <w:rPr>
                <w:rFonts w:ascii="Times New Roman" w:hAnsi="Times New Roman" w:cs="Times New Roman"/>
                <w:color w:val="000000" w:themeColor="text1"/>
                <w:sz w:val="26"/>
                <w:szCs w:val="26"/>
                <w:lang w:val="en-GB"/>
              </w:rPr>
              <w:t xml:space="preserve"> </w:t>
            </w:r>
            <w:proofErr w:type="spellStart"/>
            <w:r>
              <w:rPr>
                <w:rFonts w:ascii="Times New Roman" w:hAnsi="Times New Roman" w:cs="Times New Roman"/>
                <w:color w:val="000000" w:themeColor="text1"/>
                <w:sz w:val="26"/>
                <w:szCs w:val="26"/>
                <w:lang w:val="en-GB"/>
              </w:rPr>
              <w:t>Zavhorodnia</w:t>
            </w:r>
            <w:proofErr w:type="spellEnd"/>
            <w:r>
              <w:rPr>
                <w:rFonts w:ascii="Times New Roman" w:hAnsi="Times New Roman" w:cs="Times New Roman"/>
                <w:color w:val="000000" w:themeColor="text1"/>
                <w:sz w:val="26"/>
                <w:szCs w:val="26"/>
                <w:lang w:val="en-GB"/>
              </w:rPr>
              <w:t>, Head of the Department of International, European, and Civil Law, PhD in Law</w:t>
            </w:r>
          </w:p>
          <w:p w:rsidR="00F93F44" w:rsidRDefault="00F93F44">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Maria </w:t>
            </w:r>
            <w:proofErr w:type="spellStart"/>
            <w:r>
              <w:rPr>
                <w:rFonts w:ascii="Times New Roman" w:hAnsi="Times New Roman" w:cs="Times New Roman"/>
                <w:color w:val="000000" w:themeColor="text1"/>
                <w:sz w:val="26"/>
                <w:szCs w:val="26"/>
                <w:lang w:val="en-GB"/>
              </w:rPr>
              <w:t>Plotnikova</w:t>
            </w:r>
            <w:proofErr w:type="spellEnd"/>
            <w:r>
              <w:rPr>
                <w:rFonts w:ascii="Times New Roman" w:hAnsi="Times New Roman" w:cs="Times New Roman"/>
                <w:color w:val="000000" w:themeColor="text1"/>
                <w:sz w:val="26"/>
                <w:szCs w:val="26"/>
                <w:lang w:val="en-GB"/>
              </w:rPr>
              <w:t>, Associate Professor, of the Department of International, European, and Civil Law, PhD in Law</w:t>
            </w:r>
          </w:p>
        </w:tc>
      </w:tr>
      <w:tr w:rsidR="00F93F44" w:rsidTr="00F93F4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Cycle/higher education level</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For all </w:t>
            </w:r>
            <w:r>
              <w:rPr>
                <w:rFonts w:ascii="Times New Roman" w:hAnsi="Times New Roman" w:cs="Times New Roman"/>
                <w:color w:val="000000" w:themeColor="text1"/>
                <w:sz w:val="26"/>
                <w:szCs w:val="26"/>
                <w:lang w:val="en-GB"/>
              </w:rPr>
              <w:t>level</w:t>
            </w:r>
            <w:r>
              <w:rPr>
                <w:rFonts w:ascii="Times New Roman" w:hAnsi="Times New Roman" w:cs="Times New Roman"/>
                <w:color w:val="000000" w:themeColor="text1"/>
                <w:sz w:val="26"/>
                <w:szCs w:val="26"/>
                <w:lang w:val="en-GB"/>
              </w:rPr>
              <w:t>s</w:t>
            </w:r>
            <w:bookmarkStart w:id="0" w:name="_GoBack"/>
            <w:bookmarkEnd w:id="0"/>
          </w:p>
        </w:tc>
      </w:tr>
      <w:tr w:rsidR="00F93F44" w:rsidTr="00F93F4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Semester</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jc w:val="both"/>
              <w:rPr>
                <w:rFonts w:ascii="Times New Roman" w:hAnsi="Times New Roman" w:cs="Times New Roman"/>
                <w:color w:val="000000" w:themeColor="text1"/>
                <w:sz w:val="26"/>
                <w:szCs w:val="26"/>
                <w:lang w:val="en-GB"/>
              </w:rPr>
            </w:pPr>
            <w:r w:rsidRPr="00F93F44">
              <w:rPr>
                <w:rFonts w:ascii="Times New Roman" w:hAnsi="Times New Roman" w:cs="Times New Roman"/>
                <w:color w:val="000000" w:themeColor="text1"/>
                <w:sz w:val="26"/>
                <w:szCs w:val="26"/>
                <w:lang w:val="en-GB"/>
              </w:rPr>
              <w:t>No  restrictions</w:t>
            </w:r>
          </w:p>
        </w:tc>
      </w:tr>
      <w:tr w:rsidR="00F93F44" w:rsidTr="00F93F4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Credit value</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The discipline is 5 ECTS credits, 150 hours, of which 32 hours are contact work with the lecturer (16 hours of lectures, 16 hours of practical classes), 118 hours are individual work.</w:t>
            </w:r>
          </w:p>
        </w:tc>
      </w:tr>
      <w:tr w:rsidR="00F93F44" w:rsidTr="00F93F44">
        <w:trPr>
          <w:trHeight w:val="20"/>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Language(s)</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English</w:t>
            </w: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pStyle w:val="HTML"/>
              <w:shd w:val="clear" w:color="auto" w:fill="F8F9FA"/>
              <w:spacing w:line="360" w:lineRule="auto"/>
              <w:rPr>
                <w:rFonts w:ascii="Times New Roman" w:hAnsi="Times New Roman" w:cs="Times New Roman"/>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2. </w:t>
            </w:r>
            <w:r>
              <w:rPr>
                <w:rFonts w:ascii="Times New Roman" w:eastAsia="Arial Unicode MS" w:hAnsi="Times New Roman" w:cs="Times New Roman"/>
                <w:b/>
                <w:color w:val="000000" w:themeColor="text1"/>
                <w:sz w:val="26"/>
                <w:szCs w:val="26"/>
                <w:lang w:val="en-GB" w:eastAsia="ru-RU"/>
              </w:rPr>
              <w:t>Place in the study programme</w:t>
            </w:r>
          </w:p>
        </w:tc>
      </w:tr>
      <w:tr w:rsidR="00F93F44" w:rsidTr="00F93F44">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Relation to curriculum</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Selective course for all non-legal specialties of all levels</w:t>
            </w:r>
          </w:p>
        </w:tc>
      </w:tr>
      <w:tr w:rsidR="00F93F44" w:rsidTr="00F93F44">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Prerequisites</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No prerequisites</w:t>
            </w:r>
          </w:p>
        </w:tc>
      </w:tr>
      <w:tr w:rsidR="00F93F44" w:rsidTr="00F93F44">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Additional requirements</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No additional requirements</w:t>
            </w:r>
          </w:p>
        </w:tc>
      </w:tr>
      <w:tr w:rsidR="00F93F44" w:rsidTr="00F93F44">
        <w:trPr>
          <w:trHeight w:val="567"/>
        </w:trPr>
        <w:tc>
          <w:tcPr>
            <w:tcW w:w="2414"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Cs/>
                <w:color w:val="000000" w:themeColor="text1"/>
                <w:sz w:val="26"/>
                <w:szCs w:val="26"/>
                <w:lang w:val="en-GB"/>
              </w:rPr>
            </w:pPr>
            <w:r>
              <w:rPr>
                <w:rFonts w:ascii="Times New Roman" w:hAnsi="Times New Roman" w:cs="Times New Roman"/>
                <w:bCs/>
                <w:color w:val="000000" w:themeColor="text1"/>
                <w:sz w:val="26"/>
                <w:szCs w:val="26"/>
                <w:lang w:val="en-GB"/>
              </w:rPr>
              <w:t>Restrictions</w:t>
            </w:r>
          </w:p>
        </w:tc>
        <w:tc>
          <w:tcPr>
            <w:tcW w:w="2586"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No  restrictions</w:t>
            </w: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color w:val="000000" w:themeColor="text1"/>
                <w:sz w:val="26"/>
                <w:szCs w:val="26"/>
                <w:lang w:val="en-GB"/>
              </w:rPr>
            </w:pPr>
            <w:r>
              <w:rPr>
                <w:rFonts w:ascii="Times New Roman" w:hAnsi="Times New Roman" w:cs="Times New Roman"/>
                <w:b/>
                <w:color w:val="000000" w:themeColor="text1"/>
                <w:sz w:val="26"/>
                <w:szCs w:val="26"/>
                <w:lang w:val="en-GB"/>
              </w:rPr>
              <w:t>3. Aims of the course</w:t>
            </w:r>
          </w:p>
        </w:tc>
      </w:tr>
      <w:tr w:rsidR="00F93F44" w:rsidTr="00F93F44">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lastRenderedPageBreak/>
              <w:t>The purpose of the course is to create a holistic view of European law for students in the context of the European integration. The course is also aimed to develop knowledge and practical skills of applying tools of the European system of human rights protection.</w:t>
            </w: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pStyle w:val="HTML"/>
              <w:shd w:val="clear" w:color="auto" w:fill="F8F9FA"/>
              <w:spacing w:line="360" w:lineRule="auto"/>
              <w:rPr>
                <w:rFonts w:ascii="Times New Roman" w:hAnsi="Times New Roman" w:cs="Times New Roman"/>
                <w:color w:val="000000" w:themeColor="text1"/>
                <w:sz w:val="26"/>
                <w:szCs w:val="26"/>
                <w:lang w:val="en-GB" w:eastAsia="ru-RU"/>
              </w:rPr>
            </w:pPr>
            <w:r>
              <w:rPr>
                <w:rFonts w:ascii="Times New Roman" w:hAnsi="Times New Roman" w:cs="Times New Roman"/>
                <w:b/>
                <w:caps/>
                <w:color w:val="000000" w:themeColor="text1"/>
                <w:sz w:val="26"/>
                <w:szCs w:val="26"/>
                <w:lang w:val="en-GB" w:eastAsia="ru-RU"/>
              </w:rPr>
              <w:t xml:space="preserve">4. </w:t>
            </w:r>
            <w:r>
              <w:rPr>
                <w:rFonts w:ascii="Times New Roman" w:eastAsia="Arial Unicode MS" w:hAnsi="Times New Roman" w:cs="Times New Roman"/>
                <w:b/>
                <w:color w:val="000000" w:themeColor="text1"/>
                <w:sz w:val="26"/>
                <w:szCs w:val="26"/>
                <w:lang w:val="en-GB" w:eastAsia="ru-RU"/>
              </w:rPr>
              <w:t xml:space="preserve">Contents </w:t>
            </w:r>
          </w:p>
        </w:tc>
      </w:tr>
      <w:tr w:rsidR="00F93F44" w:rsidTr="00F93F44">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93F44" w:rsidRDefault="00F93F44">
            <w:pPr>
              <w:jc w:val="both"/>
              <w:rPr>
                <w:rFonts w:ascii="Times New Roman" w:hAnsi="Times New Roman" w:cs="Times New Roman" w:hint="eastAsia"/>
                <w:b/>
                <w:color w:val="000000" w:themeColor="text1"/>
                <w:sz w:val="26"/>
                <w:szCs w:val="26"/>
                <w:lang w:val="en-GB"/>
              </w:rPr>
            </w:pPr>
            <w:r>
              <w:rPr>
                <w:rFonts w:ascii="Times New Roman" w:hAnsi="Times New Roman" w:cs="Times New Roman"/>
                <w:b/>
                <w:color w:val="000000" w:themeColor="text1"/>
                <w:sz w:val="26"/>
                <w:szCs w:val="26"/>
                <w:lang w:val="en-GB"/>
              </w:rPr>
              <w:t>Topic 1. Introduction to European Law</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Concepts and main categories of European law. The historical roots of European law. European international organizations. History of European integration. Creating European Communities. Creation of the European Union. The Treaty of Lisbon. Values of European law (rule of law, freedom, responsibility, dignity and equality, tolerance, justice and social solidarity). Council of Europe. Security and cooperation organizations in Europe.</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2. Institutions and the legal system of the European Union</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The system of institutions of the European Union. European Parliament. European Council. Council of the EU. European Commission. The judicial system of the European Union. European Central Bank. Accounting Chamber. Subsidiary bodies of the European Union. The legal system of the European Union. Features of the legal system of the European Union. General principles of European Union law. Acquis of the European Union. Sources and structure of European Union law. The doctrine of the rule of law of the European Union. The doctrine of direct effect of European Union law. Member States' responsibility to individuals for infringement of European Union law.</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3. Basics of legal regulation of the European Union's internal market</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Free movement of goods in the European Union. The internal market of the European Union. Fiscal and non-fiscal measures of the European Union. Free movement of persons in the European Union. Freedom of establishment in the European Union. Freedom to provide and receive services. Free movement of capital in the European Union. Exemptions (permitted restrictions) from the principle of freedom of movement of capital and their application.</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4. Common policies of the European Union</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Common policies and activities of the European Union. Horizontal and secular policies of the European Union. The common trade policy of the European Union. Common Customs Policy and Customs Law of the European Union. Competition policy of the European Union. Economic and Monetary Union. Common Agricultural Policy of the European Union. Consumer protection in the European Union. Intellectual property rights in the European Union.</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5. External relations of the European Union</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Agreements governing economic and political cooperation between the European Union and other countries. Association Agreement between Ukraine and the European Union. Developing relations between Ukraine and the EU: from partnership and cooperation to association. Legal principles and objectives of the Association Agreement. Legal basis for EU citizenship. Correlation between the rights of EU citizens and third-country nationals. Rights of third-country nationals in the Internal Market of the European Union.</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6. Human rights mechanisms of the Council of Europe</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Legal status of the Council of Europe. Role of the Council of Europe in the pan-European </w:t>
            </w:r>
            <w:r>
              <w:rPr>
                <w:rFonts w:ascii="Times New Roman" w:hAnsi="Times New Roman" w:cs="Times New Roman"/>
                <w:color w:val="000000" w:themeColor="text1"/>
                <w:sz w:val="26"/>
                <w:szCs w:val="26"/>
                <w:lang w:val="en-GB"/>
              </w:rPr>
              <w:lastRenderedPageBreak/>
              <w:t>cooperation process. Council of Europe Working and Supervisory Bodies. Composition and powers of the Committee of Ministers, the Parliamentary Assembly, the Council of Europe Secretariat, the European Commission for Democracy through Law (Venice Commission), the European Court of Human Rights. Council of Europe law. Cooperation of Ukraine with the Council of Europe.</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7. Jurisprudence of the European Court of Human Rights</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The rights and freedoms proclaimed by the European Convention for the Protection of Human Rights and Fundamental Freedoms (1950) and the Protocols. Legal status of the European Court of Human Rights. The structure of the European Court of Human Rights. Judges of European Court of Human Rights. Functions of the European Court of Human Rights. Grounds for referral and admissibility criteria for a complaint to the European Court of Human Rights. Consideration of complaints by the European Court of Human Rights. Enforcement of judgments of the European Court of Human Rights.</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8. The activities of the Organization for Security and Co-operation in Europe</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The history and legal status of the Organization for Security and Co-operation in Europe. Structure of the Organization for Security and Co-operation in Europe. Areas of activity of the Organization for Security and Co-operation in Europe. The bodies of the Organization for Security and Co-operation in Europe. The role of the Organization for Security and Co-operation in Europe in ensuring respect for human rights. Ukraine's participation in the Organization for Security and Co-operation in Europe. Activities of the OSCE Special Monitoring Mission in Ukraine.</w:t>
            </w:r>
          </w:p>
          <w:p w:rsidR="00F93F44" w:rsidRDefault="00F93F44">
            <w:pPr>
              <w:jc w:val="both"/>
              <w:rPr>
                <w:rFonts w:ascii="Times New Roman" w:hAnsi="Times New Roman" w:cs="Times New Roman"/>
                <w:color w:val="000000" w:themeColor="text1"/>
                <w:sz w:val="26"/>
                <w:szCs w:val="26"/>
                <w:lang w:val="en-GB"/>
              </w:rPr>
            </w:pP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pStyle w:val="HTML"/>
              <w:shd w:val="clear" w:color="auto" w:fill="F8F9FA"/>
              <w:spacing w:line="360" w:lineRule="auto"/>
              <w:rPr>
                <w:rFonts w:ascii="Times New Roman" w:eastAsia="Arial Unicode MS" w:hAnsi="Times New Roman" w:cs="Times New Roman"/>
                <w:b/>
                <w:color w:val="000000" w:themeColor="text1"/>
                <w:sz w:val="26"/>
                <w:szCs w:val="26"/>
                <w:lang w:val="en-GB" w:eastAsia="ru-RU"/>
              </w:rPr>
            </w:pPr>
            <w:r>
              <w:rPr>
                <w:rFonts w:ascii="Times New Roman" w:hAnsi="Times New Roman" w:cs="Times New Roman"/>
                <w:b/>
                <w:color w:val="000000" w:themeColor="text1"/>
                <w:sz w:val="26"/>
                <w:szCs w:val="26"/>
                <w:lang w:val="en-GB" w:eastAsia="ru-RU"/>
              </w:rPr>
              <w:lastRenderedPageBreak/>
              <w:t xml:space="preserve">5. </w:t>
            </w:r>
            <w:r>
              <w:rPr>
                <w:rFonts w:ascii="Times New Roman" w:eastAsia="Arial Unicode MS" w:hAnsi="Times New Roman" w:cs="Times New Roman"/>
                <w:b/>
                <w:color w:val="000000" w:themeColor="text1"/>
                <w:sz w:val="26"/>
                <w:szCs w:val="26"/>
                <w:lang w:val="en-GB" w:eastAsia="ru-RU"/>
              </w:rPr>
              <w:t>Intended learning outcomes of the course</w:t>
            </w: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After successful study of the course, the student will be able to:</w:t>
            </w:r>
          </w:p>
        </w:tc>
      </w:tr>
      <w:tr w:rsidR="00F93F44" w:rsidTr="00F93F44">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rPr>
                <w:rFonts w:ascii="Times New Roman" w:hAnsi="Times New Roman" w:cs="Times New Roman"/>
                <w:bCs/>
                <w:iCs/>
                <w:color w:val="000000" w:themeColor="text1"/>
                <w:sz w:val="26"/>
                <w:szCs w:val="26"/>
                <w:lang w:val="en-GB"/>
              </w:rPr>
            </w:pPr>
            <w:r>
              <w:rPr>
                <w:rFonts w:ascii="Times New Roman" w:hAnsi="Times New Roman" w:cs="Times New Roman"/>
                <w:bCs/>
                <w:iCs/>
                <w:color w:val="000000" w:themeColor="text1"/>
                <w:sz w:val="26"/>
                <w:szCs w:val="26"/>
                <w:lang w:val="en-GB"/>
              </w:rPr>
              <w:t>LO1.</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Identify reasons and essence of the European integration process, understand the nature of EU and the legal system of the European Union, the basics of legal regulation of the internal market of the European Union</w:t>
            </w:r>
          </w:p>
        </w:tc>
      </w:tr>
      <w:tr w:rsidR="00F93F44" w:rsidTr="00F93F44">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rPr>
                <w:rFonts w:ascii="Times New Roman" w:hAnsi="Times New Roman" w:cs="Times New Roman"/>
                <w:bCs/>
                <w:iCs/>
                <w:color w:val="000000" w:themeColor="text1"/>
                <w:sz w:val="26"/>
                <w:szCs w:val="26"/>
                <w:lang w:val="en-GB"/>
              </w:rPr>
            </w:pPr>
            <w:r>
              <w:rPr>
                <w:rFonts w:ascii="Times New Roman" w:hAnsi="Times New Roman" w:cs="Times New Roman"/>
                <w:bCs/>
                <w:iCs/>
                <w:color w:val="000000" w:themeColor="text1"/>
                <w:sz w:val="26"/>
                <w:szCs w:val="26"/>
                <w:lang w:val="en-GB"/>
              </w:rPr>
              <w:t>LO2.</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Explain the legal foundations of the European Court of Human Rights and the legal significance of its decisions, the operation of the Council of Europe's human rights mechanisms, the Organization for Security and Co-operation in Europe</w:t>
            </w:r>
          </w:p>
        </w:tc>
      </w:tr>
      <w:tr w:rsidR="00F93F44" w:rsidTr="00F93F44">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rPr>
                <w:rFonts w:ascii="Times New Roman" w:hAnsi="Times New Roman" w:cs="Times New Roman"/>
                <w:bCs/>
                <w:iCs/>
                <w:color w:val="000000" w:themeColor="text1"/>
                <w:sz w:val="26"/>
                <w:szCs w:val="26"/>
                <w:lang w:val="en-GB"/>
              </w:rPr>
            </w:pPr>
            <w:r>
              <w:rPr>
                <w:rFonts w:ascii="Times New Roman" w:hAnsi="Times New Roman" w:cs="Times New Roman"/>
                <w:bCs/>
                <w:iCs/>
                <w:color w:val="000000" w:themeColor="text1"/>
                <w:sz w:val="26"/>
                <w:szCs w:val="26"/>
                <w:lang w:val="en-GB"/>
              </w:rPr>
              <w:t>LO3.</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Determinate the sources of European law, the principles of interaction between EU bodies and institutions, the legal status of Ukrainian citizens in the EU and the right to apply to the European Court of Human Rights</w:t>
            </w:r>
          </w:p>
        </w:tc>
      </w:tr>
      <w:tr w:rsidR="00F93F44" w:rsidTr="00F93F44">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rPr>
                <w:rFonts w:ascii="Times New Roman" w:hAnsi="Times New Roman" w:cs="Times New Roman"/>
                <w:bCs/>
                <w:iCs/>
                <w:color w:val="000000" w:themeColor="text1"/>
                <w:sz w:val="26"/>
                <w:szCs w:val="26"/>
                <w:lang w:val="en-GB"/>
              </w:rPr>
            </w:pPr>
            <w:r>
              <w:rPr>
                <w:rFonts w:ascii="Times New Roman" w:hAnsi="Times New Roman" w:cs="Times New Roman"/>
                <w:bCs/>
                <w:iCs/>
                <w:color w:val="000000" w:themeColor="text1"/>
                <w:sz w:val="26"/>
                <w:szCs w:val="26"/>
                <w:lang w:val="en-GB"/>
              </w:rPr>
              <w:t>LO4.</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Evaluate the legal basis for the relationship between the institutions of the European Union and the Council of Europe with Ukraine</w:t>
            </w: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pStyle w:val="HTML"/>
              <w:shd w:val="clear" w:color="auto" w:fill="F8F9FA"/>
              <w:spacing w:line="360" w:lineRule="auto"/>
              <w:rPr>
                <w:rFonts w:ascii="Times New Roman" w:hAnsi="Times New Roman" w:cs="Times New Roman"/>
                <w:b/>
                <w:caps/>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6. </w:t>
            </w:r>
            <w:r>
              <w:rPr>
                <w:rFonts w:ascii="Times New Roman" w:eastAsia="Arial Unicode MS" w:hAnsi="Times New Roman" w:cs="Times New Roman"/>
                <w:b/>
                <w:color w:val="000000" w:themeColor="text1"/>
                <w:sz w:val="26"/>
                <w:szCs w:val="26"/>
                <w:lang w:val="en-GB" w:eastAsia="ru-RU"/>
              </w:rPr>
              <w:t>Role of the course in the achievement of programme learning outcomes</w:t>
            </w:r>
          </w:p>
        </w:tc>
      </w:tr>
      <w:tr w:rsidR="00F93F44" w:rsidTr="00F93F4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pStyle w:val="HTML"/>
              <w:shd w:val="clear" w:color="auto" w:fill="F8F9FA"/>
              <w:spacing w:line="360" w:lineRule="auto"/>
              <w:rPr>
                <w:rFonts w:ascii="Times New Roman" w:hAnsi="Times New Roman" w:cs="Times New Roman"/>
                <w:color w:val="000000" w:themeColor="text1"/>
                <w:sz w:val="26"/>
                <w:szCs w:val="26"/>
                <w:lang w:val="en-GB" w:eastAsia="ru-RU"/>
              </w:rPr>
            </w:pPr>
            <w:r>
              <w:rPr>
                <w:rFonts w:ascii="Times New Roman" w:eastAsia="Arial Unicode MS" w:hAnsi="Times New Roman" w:cs="Times New Roman"/>
                <w:b/>
                <w:color w:val="000000" w:themeColor="text1"/>
                <w:sz w:val="26"/>
                <w:szCs w:val="26"/>
                <w:lang w:val="en-GB" w:eastAsia="ru-RU"/>
              </w:rPr>
              <w:t>Programme learning outcomes achieved by the course:</w:t>
            </w:r>
          </w:p>
        </w:tc>
      </w:tr>
      <w:tr w:rsidR="00F93F44" w:rsidTr="00F93F44">
        <w:trPr>
          <w:trHeight w:val="20"/>
        </w:trPr>
        <w:tc>
          <w:tcPr>
            <w:tcW w:w="872"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rPr>
                <w:rFonts w:ascii="Times New Roman" w:hAnsi="Times New Roman" w:cs="Times New Roman"/>
                <w:b/>
                <w:iCs/>
                <w:color w:val="000000" w:themeColor="text1"/>
                <w:sz w:val="26"/>
                <w:szCs w:val="26"/>
                <w:lang w:val="en-GB"/>
              </w:rPr>
            </w:pPr>
            <w:r>
              <w:rPr>
                <w:rFonts w:ascii="Times New Roman" w:hAnsi="Times New Roman" w:cs="Times New Roman"/>
                <w:b/>
                <w:iCs/>
                <w:color w:val="000000" w:themeColor="text1"/>
                <w:sz w:val="26"/>
                <w:szCs w:val="26"/>
                <w:lang w:val="en-GB"/>
              </w:rPr>
              <w:t>-</w:t>
            </w:r>
          </w:p>
        </w:tc>
        <w:tc>
          <w:tcPr>
            <w:tcW w:w="4128"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w:t>
            </w: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pStyle w:val="HTML"/>
              <w:shd w:val="clear" w:color="auto" w:fill="F8F9FA"/>
              <w:spacing w:line="360" w:lineRule="auto"/>
              <w:rPr>
                <w:rFonts w:ascii="Times New Roman" w:hAnsi="Times New Roman" w:cs="Times New Roman"/>
                <w:b/>
                <w:color w:val="000000" w:themeColor="text1"/>
                <w:sz w:val="26"/>
                <w:szCs w:val="26"/>
                <w:lang w:val="en-GB" w:eastAsia="ru-RU"/>
              </w:rPr>
            </w:pPr>
            <w:r>
              <w:rPr>
                <w:rFonts w:ascii="Times New Roman" w:hAnsi="Times New Roman" w:cs="Times New Roman"/>
                <w:b/>
                <w:color w:val="000000" w:themeColor="text1"/>
                <w:sz w:val="26"/>
                <w:szCs w:val="26"/>
                <w:lang w:val="en-GB" w:eastAsia="ru-RU"/>
              </w:rPr>
              <w:lastRenderedPageBreak/>
              <w:t xml:space="preserve">7. </w:t>
            </w:r>
            <w:r>
              <w:rPr>
                <w:rFonts w:ascii="Times New Roman" w:eastAsia="Arial Unicode MS" w:hAnsi="Times New Roman" w:cs="Times New Roman"/>
                <w:b/>
                <w:color w:val="000000" w:themeColor="text1"/>
                <w:sz w:val="26"/>
                <w:szCs w:val="26"/>
                <w:lang w:val="en-GB" w:eastAsia="ru-RU"/>
              </w:rPr>
              <w:t xml:space="preserve">Teaching and learning activities </w:t>
            </w: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 xml:space="preserve">7.1 Types of training </w:t>
            </w: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93F44" w:rsidRDefault="00F93F44">
            <w:pPr>
              <w:rPr>
                <w:rFonts w:ascii="Times New Roman" w:hAnsi="Times New Roman" w:cs="Times New Roman" w:hint="eastAsia"/>
                <w:b/>
                <w:color w:val="000000" w:themeColor="text1"/>
                <w:sz w:val="26"/>
                <w:szCs w:val="26"/>
                <w:lang w:val="en-GB"/>
              </w:rPr>
            </w:pPr>
            <w:r>
              <w:rPr>
                <w:rFonts w:ascii="Times New Roman" w:hAnsi="Times New Roman" w:cs="Times New Roman"/>
                <w:color w:val="000000" w:themeColor="text1"/>
                <w:sz w:val="26"/>
                <w:szCs w:val="26"/>
                <w:lang w:val="en-GB"/>
              </w:rPr>
              <w:t>Lectures (L), Seminar (S) and Workshops (W) are the types of training in the discipline</w:t>
            </w:r>
            <w:r>
              <w:rPr>
                <w:rFonts w:ascii="Times New Roman" w:hAnsi="Times New Roman" w:cs="Times New Roman"/>
                <w:b/>
                <w:color w:val="000000" w:themeColor="text1"/>
                <w:sz w:val="26"/>
                <w:szCs w:val="26"/>
                <w:lang w:val="en-GB"/>
              </w:rPr>
              <w:t>:</w:t>
            </w:r>
          </w:p>
          <w:p w:rsidR="00F93F44" w:rsidRDefault="00F93F44">
            <w:pPr>
              <w:rPr>
                <w:rFonts w:ascii="Times New Roman" w:hAnsi="Times New Roman" w:cs="Times New Roman"/>
                <w:b/>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1. Introduction to European Law</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b/>
                <w:color w:val="000000" w:themeColor="text1"/>
                <w:sz w:val="26"/>
                <w:szCs w:val="26"/>
                <w:lang w:val="en-GB"/>
              </w:rPr>
              <w:t>L 1</w:t>
            </w:r>
            <w:r>
              <w:rPr>
                <w:rFonts w:ascii="Times New Roman" w:hAnsi="Times New Roman" w:cs="Times New Roman"/>
                <w:color w:val="000000" w:themeColor="text1"/>
                <w:sz w:val="26"/>
                <w:szCs w:val="26"/>
                <w:lang w:val="en-GB"/>
              </w:rPr>
              <w:t xml:space="preserve">. </w:t>
            </w:r>
            <w:r>
              <w:rPr>
                <w:rFonts w:ascii="Times New Roman" w:hAnsi="Times New Roman" w:cs="Times New Roman"/>
                <w:b/>
                <w:color w:val="000000" w:themeColor="text1"/>
                <w:sz w:val="26"/>
                <w:szCs w:val="26"/>
                <w:lang w:val="en-GB"/>
              </w:rPr>
              <w:t>Introduction to European Law</w:t>
            </w:r>
            <w:r>
              <w:rPr>
                <w:rFonts w:ascii="Times New Roman" w:hAnsi="Times New Roman" w:cs="Times New Roman"/>
                <w:color w:val="000000" w:themeColor="text1"/>
                <w:sz w:val="26"/>
                <w:szCs w:val="26"/>
                <w:lang w:val="en-GB"/>
              </w:rPr>
              <w:t xml:space="preserve"> </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Concepts and main categories of European law. The historical roots of European law. European international organizations. History of European integration. European Communities. European Union. Values of European law. </w:t>
            </w: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S 1. Historical roots and values of European law</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The historical roots of European law. European international organizations. Council of Europe. Security and cooperation organizations in Europe. Values of European law</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2. Institutions and the legal system of the European Union</w:t>
            </w: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L 2. Institutions and the legal system of the European Union</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The system of institutions of the European Union. The judicial system of the European Union. The legal system of the European Union. Acquis of the European Union. </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S 2. Institutions and the legal system of the European Union</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The system of institutions of the European Union. European Parliament. European Council. Council of the EU. European Commission. The judicial system of the European Union. European Central Bank. Accounting Chamber. The legal system of the European Union. General principles of European Union law. Member States' responsibility to individuals for infringement of European Union law.</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3. Basics of legal regulation of the European Union's internal market</w:t>
            </w: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L 3. Basics of legal regulation of the European Union's internal market</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Free movement of goods in the European Union. Free movement of persons in the European Union. Freedom of establishment in the European Union. Freedom to provide and receive services. Free movement of capital in the European Union</w:t>
            </w:r>
            <w:proofErr w:type="gramStart"/>
            <w:r>
              <w:rPr>
                <w:rFonts w:ascii="Times New Roman" w:hAnsi="Times New Roman" w:cs="Times New Roman"/>
                <w:color w:val="000000" w:themeColor="text1"/>
                <w:sz w:val="26"/>
                <w:szCs w:val="26"/>
                <w:lang w:val="en-GB"/>
              </w:rPr>
              <w:t>..</w:t>
            </w:r>
            <w:proofErr w:type="gramEnd"/>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W 3. Basics of legal regulation of the European Union's internal market</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Solving practical cases on applying EU law to regulate the internal market of the European Union. </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4. Common policies of the European Union</w:t>
            </w: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L 4. Common policies of the European Union</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Common policies and activities of the European Union. The common trade policy of the European Union. Common Customs Policy and Customs Law of the European Union. Competition policy of the European Union. Economic and Monetary Union. Common Agricultural Policy of the European Union. </w:t>
            </w:r>
          </w:p>
          <w:p w:rsidR="00F93F44" w:rsidRDefault="00F93F44">
            <w:pPr>
              <w:jc w:val="both"/>
              <w:rPr>
                <w:rFonts w:ascii="Times New Roman" w:hAnsi="Times New Roman" w:cs="Times New Roman"/>
                <w:b/>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S 4. Common policies of the European Union</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Common policies and activities of the European Union. Horizontal and secular policies of the European Union. Consumer protection in the European Union. Intellectual property rights in the European Union.</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lastRenderedPageBreak/>
              <w:t>Topic 5. External relations of the European Union</w:t>
            </w: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L 5. External relations of the European Union</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Agreements governing economic and political cooperation between the European Union and other countries. Association Agreement between Ukraine and the European Union. Legal basis for EU citizenship.</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S 5. External relations of the European Union</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Agreements governing economic and political cooperation between the European Union and other countries. Developing relations between Ukraine and the EU: from partnership and cooperation to association. Legal principles and objectives of the Association Agreement. Legal basis for EU citizenship. Rights of third-country nationals in the Internal Market of the European Union.</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6. Human rights mechanisms of the Council of Europe</w:t>
            </w: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L 6. European human rights protection system</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Legal status of the Council of Europe. Council of Europe law. Council of Europe Working and Supervisory Bodies. Commission for Democracy through Law (Venice Commission), the European Court of Human Rights. Cooperation of Ukraine with the Council of Europe.</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S 6. Human rights mechanisms of the Council of Europe</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Legal status of the Council of Europe. Role of the Council of Europe in the pan-European cooperation process. Council of Europe law. Cooperation of Ukraine with the Council of Europe.</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7. Jurisprudence of the European Court of Human Rights</w:t>
            </w: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L 7. Jurisprudence of the European Court of Human Rights</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The rights and freedoms proclaimed by the European Convention for the Protection of Human Rights and Fundamental Freedoms (1950) and the Protocols. Legal status of the European Court of Human Rights. Consideration of complaints by the European Court of Human Rights. Enforcement of judgments of the European Court of Human Rights.</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W 7. Jurisprudence of the European Court of Human Rights</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Solving cases on in line with jurisprudence of the European Court of Human Rights</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W 8. Jurisprudence of the European Court of Human Rights</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Preparing the application to the European Court of Human Rights</w:t>
            </w:r>
          </w:p>
          <w:p w:rsidR="00F93F44" w:rsidRDefault="00F93F44">
            <w:pPr>
              <w:jc w:val="both"/>
              <w:rPr>
                <w:rFonts w:ascii="Times New Roman" w:hAnsi="Times New Roman" w:cs="Times New Roman"/>
                <w:color w:val="000000" w:themeColor="text1"/>
                <w:sz w:val="26"/>
                <w:szCs w:val="26"/>
                <w:lang w:val="en-GB"/>
              </w:rPr>
            </w:pPr>
          </w:p>
          <w:p w:rsidR="00F93F44" w:rsidRDefault="00F93F44">
            <w:pPr>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Topic 8. The activities of the Organization for Security and Co-operation in Europe</w:t>
            </w:r>
          </w:p>
          <w:p w:rsidR="00F93F44" w:rsidRDefault="00F93F44">
            <w:pPr>
              <w:jc w:val="both"/>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L 8. The history and legal status of the Organization for Security and Co-operation in Europe. Structure of the Organization for Security and Co-operation in Europe. The role of the Organization for Security and Co-operation in Europe in ensuring respect for human rights. Ukraine's participation in the Organization for Security and Co-operation in Europe. Activities of the OSCE Special Monitoring Mission in Ukraine.</w:t>
            </w:r>
          </w:p>
          <w:p w:rsidR="00F93F44" w:rsidRDefault="00F93F44">
            <w:pPr>
              <w:rPr>
                <w:rFonts w:ascii="Times New Roman" w:hAnsi="Times New Roman" w:cs="Times New Roman"/>
                <w:b/>
                <w:color w:val="000000" w:themeColor="text1"/>
                <w:sz w:val="26"/>
                <w:szCs w:val="26"/>
                <w:lang w:val="en-GB"/>
              </w:rPr>
            </w:pP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jc w:val="both"/>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lastRenderedPageBreak/>
              <w:t>7.2 Learning activities</w:t>
            </w: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93F44" w:rsidRDefault="00F93F44">
            <w:pPr>
              <w:rPr>
                <w:rFonts w:ascii="Times New Roman" w:hAnsi="Times New Roman" w:cs="Times New Roman" w:hint="eastAsia"/>
                <w:b/>
                <w:color w:val="000000" w:themeColor="text1"/>
                <w:sz w:val="26"/>
                <w:szCs w:val="26"/>
                <w:lang w:val="en-GB"/>
              </w:rPr>
            </w:pPr>
            <w:r>
              <w:rPr>
                <w:rFonts w:ascii="Times New Roman" w:hAnsi="Times New Roman" w:cs="Times New Roman"/>
                <w:b/>
                <w:color w:val="000000" w:themeColor="text1"/>
                <w:sz w:val="26"/>
                <w:szCs w:val="26"/>
                <w:lang w:val="en-GB"/>
              </w:rPr>
              <w:t>7.2 Learning activities (LA)</w:t>
            </w:r>
          </w:p>
          <w:p w:rsidR="00F93F44" w:rsidRDefault="00F93F44">
            <w:pPr>
              <w:rPr>
                <w:rFonts w:ascii="Times New Roman" w:hAnsi="Times New Roman" w:cs="Times New Roman"/>
                <w:color w:val="000000" w:themeColor="text1"/>
                <w:sz w:val="26"/>
                <w:szCs w:val="26"/>
                <w:lang w:val="en-GB"/>
              </w:rPr>
            </w:pPr>
            <w:r>
              <w:rPr>
                <w:rFonts w:ascii="Times New Roman" w:hAnsi="Times New Roman" w:cs="Times New Roman"/>
                <w:b/>
                <w:color w:val="000000" w:themeColor="text1"/>
                <w:sz w:val="26"/>
                <w:szCs w:val="26"/>
                <w:lang w:val="en-GB"/>
              </w:rPr>
              <w:t>LA 1</w:t>
            </w:r>
            <w:r>
              <w:rPr>
                <w:rFonts w:ascii="Times New Roman" w:hAnsi="Times New Roman" w:cs="Times New Roman"/>
                <w:color w:val="000000" w:themeColor="text1"/>
                <w:sz w:val="26"/>
                <w:szCs w:val="26"/>
                <w:lang w:val="en-GB"/>
              </w:rPr>
              <w:t>. Student participation in the lecture-discussion (within topics 1-3 of the content of the discipline) and preparation for lectures.</w:t>
            </w:r>
          </w:p>
          <w:p w:rsidR="00F93F44" w:rsidRDefault="00F93F44">
            <w:pPr>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lastRenderedPageBreak/>
              <w:t xml:space="preserve">LA 2. </w:t>
            </w:r>
            <w:r>
              <w:rPr>
                <w:rFonts w:ascii="Times New Roman" w:hAnsi="Times New Roman" w:cs="Times New Roman"/>
                <w:color w:val="000000" w:themeColor="text1"/>
                <w:sz w:val="26"/>
                <w:szCs w:val="26"/>
                <w:lang w:val="en-GB"/>
              </w:rPr>
              <w:t>Preparing reports and presentations on topics 1, 2, 5, 6, 8 of the content of the discipline</w:t>
            </w:r>
            <w:r>
              <w:rPr>
                <w:rFonts w:ascii="Times New Roman" w:hAnsi="Times New Roman" w:cs="Times New Roman"/>
                <w:b/>
                <w:color w:val="000000" w:themeColor="text1"/>
                <w:sz w:val="26"/>
                <w:szCs w:val="26"/>
                <w:lang w:val="en-GB"/>
              </w:rPr>
              <w:t>;</w:t>
            </w:r>
          </w:p>
          <w:p w:rsidR="00F93F44" w:rsidRDefault="00F93F44">
            <w:pPr>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 xml:space="preserve">LA 3. </w:t>
            </w:r>
            <w:r>
              <w:rPr>
                <w:rFonts w:ascii="Times New Roman" w:hAnsi="Times New Roman" w:cs="Times New Roman"/>
                <w:color w:val="000000" w:themeColor="text1"/>
                <w:sz w:val="26"/>
                <w:szCs w:val="26"/>
                <w:lang w:val="en-GB"/>
              </w:rPr>
              <w:t>Preparation for the testing on topics 1-8</w:t>
            </w:r>
          </w:p>
          <w:p w:rsidR="00F93F44" w:rsidRDefault="00F93F44">
            <w:pPr>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 xml:space="preserve">LA 4. </w:t>
            </w:r>
            <w:r>
              <w:rPr>
                <w:rFonts w:ascii="Times New Roman" w:hAnsi="Times New Roman" w:cs="Times New Roman"/>
                <w:color w:val="000000" w:themeColor="text1"/>
                <w:sz w:val="26"/>
                <w:szCs w:val="26"/>
                <w:lang w:val="en-GB"/>
              </w:rPr>
              <w:t>Essay on the subject of choice within topics 1-8 of the content of the discipline;</w:t>
            </w:r>
          </w:p>
          <w:p w:rsidR="00F93F44" w:rsidRDefault="00F93F44">
            <w:pPr>
              <w:rPr>
                <w:rFonts w:ascii="Times New Roman" w:hAnsi="Times New Roman" w:cs="Times New Roman"/>
                <w:color w:val="000000" w:themeColor="text1"/>
                <w:sz w:val="26"/>
                <w:szCs w:val="26"/>
                <w:lang w:val="en-GB"/>
              </w:rPr>
            </w:pPr>
            <w:r>
              <w:rPr>
                <w:rFonts w:ascii="Times New Roman" w:hAnsi="Times New Roman" w:cs="Times New Roman"/>
                <w:b/>
                <w:color w:val="000000" w:themeColor="text1"/>
                <w:sz w:val="26"/>
                <w:szCs w:val="26"/>
                <w:lang w:val="en-GB"/>
              </w:rPr>
              <w:t xml:space="preserve">LA 5. </w:t>
            </w:r>
            <w:r>
              <w:rPr>
                <w:rFonts w:ascii="Times New Roman" w:hAnsi="Times New Roman" w:cs="Times New Roman"/>
                <w:color w:val="000000" w:themeColor="text1"/>
                <w:sz w:val="26"/>
                <w:szCs w:val="26"/>
                <w:lang w:val="en-GB"/>
              </w:rPr>
              <w:t>Case implementation on the results of the study (Case Study) of topics 3, 7;</w:t>
            </w:r>
          </w:p>
          <w:p w:rsidR="00F93F44" w:rsidRDefault="00F93F44">
            <w:pPr>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LA 7. Execution of control work according to the results of studying the discipline.</w:t>
            </w:r>
          </w:p>
          <w:p w:rsidR="00F93F44" w:rsidRDefault="00F93F44">
            <w:pPr>
              <w:rPr>
                <w:rFonts w:ascii="Times New Roman" w:hAnsi="Times New Roman" w:cs="Times New Roman"/>
                <w:b/>
                <w:color w:val="000000" w:themeColor="text1"/>
                <w:sz w:val="26"/>
                <w:szCs w:val="26"/>
                <w:lang w:val="en-GB"/>
              </w:rPr>
            </w:pP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lastRenderedPageBreak/>
              <w:t xml:space="preserve">8. Teaching methods  </w:t>
            </w:r>
          </w:p>
        </w:tc>
      </w:tr>
      <w:tr w:rsidR="00F93F44" w:rsidTr="00F93F4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93F44" w:rsidRDefault="00F93F44">
            <w:pPr>
              <w:rPr>
                <w:rFonts w:ascii="Times New Roman" w:hAnsi="Times New Roman" w:cs="Times New Roman" w:hint="eastAsia"/>
                <w:b/>
                <w:sz w:val="26"/>
                <w:szCs w:val="26"/>
                <w:lang w:val="en-GB"/>
              </w:rPr>
            </w:pPr>
            <w:r>
              <w:rPr>
                <w:rFonts w:ascii="Times New Roman" w:hAnsi="Times New Roman" w:cs="Times New Roman"/>
                <w:b/>
                <w:sz w:val="26"/>
                <w:szCs w:val="26"/>
                <w:lang w:val="en-GB"/>
              </w:rPr>
              <w:t xml:space="preserve">TM 1. </w:t>
            </w:r>
            <w:r>
              <w:rPr>
                <w:rFonts w:ascii="Times New Roman" w:hAnsi="Times New Roman" w:cs="Times New Roman"/>
                <w:sz w:val="26"/>
                <w:szCs w:val="26"/>
                <w:lang w:val="en-GB"/>
              </w:rPr>
              <w:t>Interactive lectures;</w:t>
            </w:r>
          </w:p>
          <w:p w:rsidR="00F93F44" w:rsidRDefault="00F93F44">
            <w:pPr>
              <w:rPr>
                <w:rFonts w:ascii="Times New Roman" w:hAnsi="Times New Roman" w:cs="Times New Roman"/>
                <w:b/>
                <w:sz w:val="26"/>
                <w:szCs w:val="26"/>
                <w:lang w:val="en-GB"/>
              </w:rPr>
            </w:pPr>
            <w:r>
              <w:rPr>
                <w:rFonts w:ascii="Times New Roman" w:hAnsi="Times New Roman" w:cs="Times New Roman"/>
                <w:b/>
                <w:sz w:val="26"/>
                <w:szCs w:val="26"/>
                <w:lang w:val="en-GB"/>
              </w:rPr>
              <w:t xml:space="preserve">TM 2. </w:t>
            </w:r>
            <w:r>
              <w:rPr>
                <w:rFonts w:ascii="Times New Roman" w:hAnsi="Times New Roman" w:cs="Times New Roman"/>
                <w:sz w:val="26"/>
                <w:szCs w:val="26"/>
                <w:lang w:val="en-GB"/>
              </w:rPr>
              <w:t>Lecture-visualization;</w:t>
            </w:r>
          </w:p>
          <w:p w:rsidR="00F93F44" w:rsidRDefault="00F93F44">
            <w:pPr>
              <w:rPr>
                <w:rFonts w:ascii="Times New Roman" w:hAnsi="Times New Roman" w:cs="Times New Roman"/>
                <w:sz w:val="26"/>
                <w:szCs w:val="26"/>
                <w:lang w:val="en-GB"/>
              </w:rPr>
            </w:pPr>
            <w:r>
              <w:rPr>
                <w:rFonts w:ascii="Times New Roman" w:hAnsi="Times New Roman" w:cs="Times New Roman"/>
                <w:b/>
                <w:sz w:val="26"/>
                <w:szCs w:val="26"/>
                <w:lang w:val="en-GB"/>
              </w:rPr>
              <w:t xml:space="preserve">TM 3. </w:t>
            </w:r>
            <w:r>
              <w:rPr>
                <w:rFonts w:ascii="Times New Roman" w:hAnsi="Times New Roman" w:cs="Times New Roman"/>
                <w:sz w:val="26"/>
                <w:szCs w:val="26"/>
                <w:lang w:val="en-GB"/>
              </w:rPr>
              <w:t>Workshops (Case Study);</w:t>
            </w:r>
          </w:p>
          <w:p w:rsidR="00F93F44" w:rsidRDefault="00F93F44">
            <w:pPr>
              <w:rPr>
                <w:rFonts w:ascii="Times New Roman" w:hAnsi="Times New Roman" w:cs="Times New Roman"/>
                <w:b/>
                <w:sz w:val="26"/>
                <w:szCs w:val="26"/>
                <w:lang w:val="en-GB"/>
              </w:rPr>
            </w:pPr>
            <w:r>
              <w:rPr>
                <w:rFonts w:ascii="Times New Roman" w:hAnsi="Times New Roman" w:cs="Times New Roman"/>
                <w:b/>
                <w:sz w:val="26"/>
                <w:szCs w:val="26"/>
                <w:lang w:val="en-GB"/>
              </w:rPr>
              <w:t xml:space="preserve">TM 4. </w:t>
            </w:r>
            <w:r>
              <w:rPr>
                <w:rFonts w:ascii="Times New Roman" w:hAnsi="Times New Roman" w:cs="Times New Roman"/>
                <w:sz w:val="26"/>
                <w:szCs w:val="26"/>
                <w:lang w:val="en-GB"/>
              </w:rPr>
              <w:t>Combined Seminar classes: reports, abstracts, messages that go into an in-depth conversation or discussion</w:t>
            </w:r>
          </w:p>
          <w:p w:rsidR="00F93F44" w:rsidRDefault="00F93F44">
            <w:pPr>
              <w:rPr>
                <w:rFonts w:ascii="Times New Roman" w:hAnsi="Times New Roman" w:cs="Times New Roman"/>
                <w:b/>
                <w:sz w:val="26"/>
                <w:szCs w:val="26"/>
                <w:lang w:val="en-GB"/>
              </w:rPr>
            </w:pPr>
          </w:p>
          <w:p w:rsidR="00F93F44" w:rsidRDefault="00F93F44">
            <w:pPr>
              <w:ind w:firstLine="284"/>
              <w:jc w:val="both"/>
              <w:rPr>
                <w:rFonts w:ascii="Times New Roman" w:hAnsi="Times New Roman" w:cs="Times New Roman"/>
                <w:sz w:val="26"/>
                <w:szCs w:val="26"/>
                <w:lang w:val="en-GB"/>
              </w:rPr>
            </w:pPr>
            <w:r>
              <w:rPr>
                <w:rFonts w:ascii="Times New Roman" w:hAnsi="Times New Roman" w:cs="Times New Roman"/>
                <w:i/>
                <w:sz w:val="26"/>
                <w:szCs w:val="26"/>
                <w:lang w:val="en-GB"/>
              </w:rPr>
              <w:t>Lectures</w:t>
            </w:r>
            <w:r>
              <w:rPr>
                <w:rFonts w:ascii="Times New Roman" w:hAnsi="Times New Roman" w:cs="Times New Roman"/>
                <w:sz w:val="26"/>
                <w:szCs w:val="26"/>
                <w:lang w:val="en-GB"/>
              </w:rPr>
              <w:t xml:space="preserve"> (as interactive, lectures - visualizations and lectures of a discussion nature) provide students with materials (visuals, in the form of videos, using multimedia technologies) on the basics of European Law from different points of view, which is the basis for independent and classroom training of higher education, also apply knowledge and understanding of the subject area (</w:t>
            </w:r>
            <w:r>
              <w:rPr>
                <w:rFonts w:ascii="Times New Roman" w:hAnsi="Times New Roman" w:cs="Times New Roman"/>
                <w:i/>
                <w:sz w:val="26"/>
                <w:szCs w:val="26"/>
                <w:lang w:val="en-GB"/>
              </w:rPr>
              <w:t xml:space="preserve">learning outcome </w:t>
            </w:r>
            <w:r>
              <w:rPr>
                <w:rFonts w:ascii="Times New Roman" w:hAnsi="Times New Roman" w:cs="Times New Roman"/>
                <w:bCs/>
                <w:i/>
                <w:iCs/>
                <w:sz w:val="26"/>
                <w:szCs w:val="26"/>
                <w:lang w:val="en-GB"/>
              </w:rPr>
              <w:t>LO</w:t>
            </w:r>
            <w:r>
              <w:rPr>
                <w:rFonts w:ascii="Times New Roman" w:hAnsi="Times New Roman" w:cs="Times New Roman"/>
                <w:i/>
                <w:sz w:val="26"/>
                <w:szCs w:val="26"/>
                <w:lang w:val="en-GB"/>
              </w:rPr>
              <w:t xml:space="preserve"> 1</w:t>
            </w:r>
            <w:r>
              <w:rPr>
                <w:rFonts w:ascii="Times New Roman" w:hAnsi="Times New Roman" w:cs="Times New Roman"/>
                <w:sz w:val="26"/>
                <w:szCs w:val="26"/>
                <w:lang w:val="en-GB"/>
              </w:rPr>
              <w:t xml:space="preserve">). </w:t>
            </w:r>
          </w:p>
          <w:p w:rsidR="00F93F44" w:rsidRDefault="00F93F44">
            <w:pPr>
              <w:ind w:firstLine="284"/>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The lectures are complemented by </w:t>
            </w:r>
            <w:r>
              <w:rPr>
                <w:rFonts w:ascii="Times New Roman" w:hAnsi="Times New Roman" w:cs="Times New Roman"/>
                <w:i/>
                <w:sz w:val="26"/>
                <w:szCs w:val="26"/>
                <w:lang w:val="en-GB"/>
              </w:rPr>
              <w:t>workshops</w:t>
            </w:r>
            <w:r>
              <w:rPr>
                <w:rFonts w:ascii="Times New Roman" w:hAnsi="Times New Roman" w:cs="Times New Roman"/>
                <w:sz w:val="26"/>
                <w:szCs w:val="26"/>
                <w:lang w:val="en-GB"/>
              </w:rPr>
              <w:t xml:space="preserve"> </w:t>
            </w:r>
            <w:r>
              <w:rPr>
                <w:rFonts w:ascii="Times New Roman" w:hAnsi="Times New Roman" w:cs="Times New Roman"/>
                <w:i/>
                <w:sz w:val="26"/>
                <w:szCs w:val="26"/>
                <w:lang w:val="en-GB"/>
              </w:rPr>
              <w:t>and seminar classes</w:t>
            </w:r>
            <w:r>
              <w:rPr>
                <w:rFonts w:ascii="Times New Roman" w:hAnsi="Times New Roman" w:cs="Times New Roman"/>
                <w:sz w:val="26"/>
                <w:szCs w:val="26"/>
                <w:lang w:val="en-GB"/>
              </w:rPr>
              <w:t xml:space="preserve"> that give students the ability to use basic categories and the latest theories, concepts in the field of European law (</w:t>
            </w:r>
            <w:r>
              <w:rPr>
                <w:rFonts w:ascii="Times New Roman" w:hAnsi="Times New Roman" w:cs="Times New Roman"/>
                <w:i/>
                <w:sz w:val="26"/>
                <w:szCs w:val="26"/>
                <w:lang w:val="en-GB"/>
              </w:rPr>
              <w:t xml:space="preserve">learning outcomes </w:t>
            </w:r>
            <w:r>
              <w:rPr>
                <w:rFonts w:ascii="Times New Roman" w:hAnsi="Times New Roman" w:cs="Times New Roman"/>
                <w:bCs/>
                <w:i/>
                <w:iCs/>
                <w:sz w:val="26"/>
                <w:szCs w:val="26"/>
                <w:lang w:val="en-GB"/>
              </w:rPr>
              <w:t>LO</w:t>
            </w:r>
            <w:r>
              <w:rPr>
                <w:rFonts w:ascii="Times New Roman" w:hAnsi="Times New Roman" w:cs="Times New Roman"/>
                <w:i/>
                <w:sz w:val="26"/>
                <w:szCs w:val="26"/>
                <w:lang w:val="en-GB"/>
              </w:rPr>
              <w:t xml:space="preserve"> 2 and </w:t>
            </w:r>
            <w:r>
              <w:rPr>
                <w:rFonts w:ascii="Times New Roman" w:hAnsi="Times New Roman" w:cs="Times New Roman"/>
                <w:bCs/>
                <w:i/>
                <w:iCs/>
                <w:sz w:val="26"/>
                <w:szCs w:val="26"/>
                <w:lang w:val="en-GB"/>
              </w:rPr>
              <w:t>LO</w:t>
            </w:r>
            <w:r>
              <w:rPr>
                <w:rFonts w:ascii="Times New Roman" w:hAnsi="Times New Roman" w:cs="Times New Roman"/>
                <w:i/>
                <w:sz w:val="26"/>
                <w:szCs w:val="26"/>
                <w:lang w:val="en-GB"/>
              </w:rPr>
              <w:t xml:space="preserve"> 3</w:t>
            </w:r>
            <w:r>
              <w:rPr>
                <w:rFonts w:ascii="Times New Roman" w:hAnsi="Times New Roman" w:cs="Times New Roman"/>
                <w:sz w:val="26"/>
                <w:szCs w:val="26"/>
                <w:lang w:val="en-GB"/>
              </w:rPr>
              <w:t>).</w:t>
            </w:r>
          </w:p>
          <w:p w:rsidR="00F93F44" w:rsidRDefault="00F93F44">
            <w:pPr>
              <w:ind w:firstLine="284"/>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The use of the case method provides students with problem-oriented thinking and management decision-making skills based on the analysis of complex real-life situations, identification of problems and opportunities, </w:t>
            </w:r>
            <w:proofErr w:type="gramStart"/>
            <w:r>
              <w:rPr>
                <w:rFonts w:ascii="Times New Roman" w:hAnsi="Times New Roman" w:cs="Times New Roman"/>
                <w:sz w:val="26"/>
                <w:szCs w:val="26"/>
                <w:lang w:val="en-GB"/>
              </w:rPr>
              <w:t>the</w:t>
            </w:r>
            <w:proofErr w:type="gramEnd"/>
            <w:r>
              <w:rPr>
                <w:rFonts w:ascii="Times New Roman" w:hAnsi="Times New Roman" w:cs="Times New Roman"/>
                <w:sz w:val="26"/>
                <w:szCs w:val="26"/>
                <w:lang w:val="en-GB"/>
              </w:rPr>
              <w:t xml:space="preserve"> analysis of alternatives and the choice of the best ones (</w:t>
            </w:r>
            <w:r>
              <w:rPr>
                <w:rFonts w:ascii="Times New Roman" w:hAnsi="Times New Roman" w:cs="Times New Roman"/>
                <w:i/>
                <w:sz w:val="26"/>
                <w:szCs w:val="26"/>
                <w:lang w:val="en-GB"/>
              </w:rPr>
              <w:t xml:space="preserve">results of training </w:t>
            </w:r>
            <w:r>
              <w:rPr>
                <w:rFonts w:ascii="Times New Roman" w:hAnsi="Times New Roman" w:cs="Times New Roman"/>
                <w:bCs/>
                <w:i/>
                <w:iCs/>
                <w:sz w:val="26"/>
                <w:szCs w:val="26"/>
                <w:lang w:val="en-GB"/>
              </w:rPr>
              <w:t>LO</w:t>
            </w:r>
            <w:r>
              <w:rPr>
                <w:rFonts w:ascii="Times New Roman" w:hAnsi="Times New Roman" w:cs="Times New Roman"/>
                <w:i/>
                <w:sz w:val="26"/>
                <w:szCs w:val="26"/>
                <w:lang w:val="en-GB"/>
              </w:rPr>
              <w:t xml:space="preserve"> 3, </w:t>
            </w:r>
            <w:r>
              <w:rPr>
                <w:rFonts w:ascii="Times New Roman" w:hAnsi="Times New Roman" w:cs="Times New Roman"/>
                <w:bCs/>
                <w:i/>
                <w:iCs/>
                <w:sz w:val="26"/>
                <w:szCs w:val="26"/>
                <w:lang w:val="en-GB"/>
              </w:rPr>
              <w:t>LO</w:t>
            </w:r>
            <w:r>
              <w:rPr>
                <w:rFonts w:ascii="Times New Roman" w:hAnsi="Times New Roman" w:cs="Times New Roman"/>
                <w:i/>
                <w:sz w:val="26"/>
                <w:szCs w:val="26"/>
                <w:lang w:val="en-GB"/>
              </w:rPr>
              <w:t xml:space="preserve"> 4</w:t>
            </w:r>
            <w:r>
              <w:rPr>
                <w:rFonts w:ascii="Times New Roman" w:hAnsi="Times New Roman" w:cs="Times New Roman"/>
                <w:sz w:val="26"/>
                <w:szCs w:val="26"/>
                <w:lang w:val="en-GB"/>
              </w:rPr>
              <w:t>).</w:t>
            </w:r>
          </w:p>
          <w:p w:rsidR="00F93F44" w:rsidRDefault="00F93F44">
            <w:pPr>
              <w:ind w:firstLine="284"/>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Individual learning will be facilitated by preparation for lectures, workshops and seminars, as well as small group work to prepare presentations that will be presented to other groups and then analysed, discussed and demonstrated through practice-oriented learning. </w:t>
            </w:r>
          </w:p>
          <w:p w:rsidR="00F93F44" w:rsidRDefault="00F93F44">
            <w:pPr>
              <w:rPr>
                <w:rFonts w:ascii="Times New Roman" w:hAnsi="Times New Roman" w:cs="Times New Roman"/>
                <w:b/>
                <w:color w:val="000000" w:themeColor="text1"/>
                <w:sz w:val="26"/>
                <w:szCs w:val="26"/>
                <w:lang w:val="en-GB"/>
              </w:rPr>
            </w:pPr>
          </w:p>
          <w:p w:rsidR="00F93F44" w:rsidRDefault="00F93F44">
            <w:pPr>
              <w:rPr>
                <w:rFonts w:ascii="Times New Roman" w:hAnsi="Times New Roman" w:cs="Times New Roman"/>
                <w:b/>
                <w:color w:val="000000" w:themeColor="text1"/>
                <w:sz w:val="26"/>
                <w:szCs w:val="26"/>
                <w:lang w:val="en-GB"/>
              </w:rPr>
            </w:pPr>
          </w:p>
          <w:p w:rsidR="00F93F44" w:rsidRDefault="00F93F44">
            <w:pPr>
              <w:rPr>
                <w:rFonts w:ascii="Times New Roman" w:hAnsi="Times New Roman" w:cs="Times New Roman"/>
                <w:b/>
                <w:color w:val="000000" w:themeColor="text1"/>
                <w:sz w:val="26"/>
                <w:szCs w:val="26"/>
                <w:lang w:val="en-GB"/>
              </w:rPr>
            </w:pPr>
          </w:p>
          <w:p w:rsidR="00F93F44" w:rsidRDefault="00F93F44">
            <w:pPr>
              <w:rPr>
                <w:rFonts w:ascii="Times New Roman" w:hAnsi="Times New Roman" w:cs="Times New Roman"/>
                <w:b/>
                <w:color w:val="000000" w:themeColor="text1"/>
                <w:sz w:val="26"/>
                <w:szCs w:val="26"/>
                <w:lang w:val="en-GB"/>
              </w:rPr>
            </w:pPr>
          </w:p>
          <w:p w:rsidR="00F93F44" w:rsidRDefault="00F93F44">
            <w:pPr>
              <w:rPr>
                <w:rFonts w:ascii="Times New Roman" w:hAnsi="Times New Roman" w:cs="Times New Roman"/>
                <w:b/>
                <w:color w:val="000000" w:themeColor="text1"/>
                <w:sz w:val="26"/>
                <w:szCs w:val="26"/>
                <w:lang w:val="en-GB"/>
              </w:rPr>
            </w:pPr>
          </w:p>
          <w:p w:rsidR="00F93F44" w:rsidRDefault="00F93F44">
            <w:pPr>
              <w:rPr>
                <w:rFonts w:ascii="Times New Roman" w:hAnsi="Times New Roman" w:cs="Times New Roman"/>
                <w:b/>
                <w:color w:val="000000" w:themeColor="text1"/>
                <w:sz w:val="26"/>
                <w:szCs w:val="26"/>
                <w:lang w:val="en-GB"/>
              </w:rPr>
            </w:pPr>
          </w:p>
          <w:p w:rsidR="00F93F44" w:rsidRDefault="00F93F44">
            <w:pPr>
              <w:rPr>
                <w:rFonts w:ascii="Times New Roman" w:hAnsi="Times New Roman" w:cs="Times New Roman"/>
                <w:b/>
                <w:color w:val="000000" w:themeColor="text1"/>
                <w:sz w:val="26"/>
                <w:szCs w:val="26"/>
                <w:lang w:val="en-GB"/>
              </w:rPr>
            </w:pPr>
          </w:p>
        </w:tc>
      </w:tr>
      <w:tr w:rsidR="00F93F44" w:rsidTr="00F93F4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spacing w:line="360" w:lineRule="auto"/>
              <w:rPr>
                <w:rFonts w:ascii="Times New Roman" w:hAnsi="Times New Roman" w:cs="Times New Roman"/>
                <w:color w:val="000000" w:themeColor="text1"/>
                <w:sz w:val="26"/>
                <w:szCs w:val="26"/>
                <w:lang w:val="en-GB"/>
              </w:rPr>
            </w:pPr>
            <w:r>
              <w:rPr>
                <w:rFonts w:ascii="Times New Roman" w:hAnsi="Times New Roman" w:cs="Times New Roman"/>
                <w:b/>
                <w:color w:val="000000" w:themeColor="text1"/>
                <w:sz w:val="26"/>
                <w:szCs w:val="26"/>
                <w:lang w:val="en-GB"/>
              </w:rPr>
              <w:t>9. Methods and criteria for assessment</w:t>
            </w:r>
          </w:p>
        </w:tc>
      </w:tr>
      <w:tr w:rsidR="00F93F44" w:rsidTr="00F93F4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pStyle w:val="HTML"/>
              <w:shd w:val="clear" w:color="auto" w:fill="F8F9FA"/>
              <w:spacing w:line="360" w:lineRule="auto"/>
              <w:rPr>
                <w:rFonts w:ascii="Times New Roman" w:hAnsi="Times New Roman" w:cs="Times New Roman"/>
                <w:b/>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9.1. Assessment </w:t>
            </w:r>
            <w:r>
              <w:rPr>
                <w:rFonts w:ascii="Times New Roman" w:eastAsia="Arial Unicode MS" w:hAnsi="Times New Roman" w:cs="Times New Roman"/>
                <w:b/>
                <w:color w:val="000000" w:themeColor="text1"/>
                <w:sz w:val="26"/>
                <w:szCs w:val="26"/>
                <w:lang w:val="en-GB" w:eastAsia="ru-RU"/>
              </w:rPr>
              <w:t>criteria</w:t>
            </w:r>
          </w:p>
        </w:tc>
      </w:tr>
      <w:tr w:rsidR="00F93F44" w:rsidTr="00F93F4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F93F44">
              <w:trPr>
                <w:trHeight w:val="26"/>
              </w:trPr>
              <w:tc>
                <w:tcPr>
                  <w:tcW w:w="5000"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tbl>
                  <w:tblPr>
                    <w:tblW w:w="9690"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left w:w="0" w:type="dxa"/>
                      <w:right w:w="0" w:type="dxa"/>
                    </w:tblCellMar>
                    <w:tblLook w:val="00A0" w:firstRow="1" w:lastRow="0" w:firstColumn="1" w:lastColumn="0" w:noHBand="0" w:noVBand="0"/>
                  </w:tblPr>
                  <w:tblGrid>
                    <w:gridCol w:w="5841"/>
                    <w:gridCol w:w="1860"/>
                    <w:gridCol w:w="1989"/>
                  </w:tblGrid>
                  <w:tr w:rsidR="00F93F44">
                    <w:trPr>
                      <w:trHeight w:val="189"/>
                    </w:trPr>
                    <w:tc>
                      <w:tcPr>
                        <w:tcW w:w="5840" w:type="dxa"/>
                        <w:tcBorders>
                          <w:top w:val="single" w:sz="6" w:space="0" w:color="000000"/>
                          <w:left w:val="single" w:sz="6" w:space="0" w:color="000000"/>
                          <w:bottom w:val="single" w:sz="4" w:space="0" w:color="auto"/>
                          <w:right w:val="single" w:sz="4" w:space="0" w:color="auto"/>
                        </w:tcBorders>
                        <w:tcMar>
                          <w:top w:w="28" w:type="dxa"/>
                          <w:left w:w="85" w:type="dxa"/>
                          <w:bottom w:w="28" w:type="dxa"/>
                          <w:right w:w="85" w:type="dxa"/>
                        </w:tcMar>
                        <w:hideMark/>
                      </w:tcPr>
                      <w:p w:rsidR="00F93F44" w:rsidRDefault="00F93F44">
                        <w:pPr>
                          <w:ind w:firstLine="426"/>
                          <w:jc w:val="center"/>
                          <w:rPr>
                            <w:rFonts w:ascii="Times New Roman" w:hAnsi="Times New Roman" w:cs="Times New Roman"/>
                            <w:b/>
                            <w:lang w:val="en-US" w:eastAsia="en-US"/>
                          </w:rPr>
                        </w:pPr>
                        <w:r>
                          <w:rPr>
                            <w:rFonts w:ascii="Times New Roman" w:hAnsi="Times New Roman" w:cs="Times New Roman"/>
                            <w:b/>
                            <w:sz w:val="22"/>
                            <w:szCs w:val="22"/>
                            <w:lang w:val="en-US" w:eastAsia="en-US"/>
                          </w:rPr>
                          <w:t>Definition</w:t>
                        </w:r>
                      </w:p>
                    </w:tc>
                    <w:tc>
                      <w:tcPr>
                        <w:tcW w:w="1859" w:type="dxa"/>
                        <w:tcBorders>
                          <w:top w:val="single" w:sz="6" w:space="0" w:color="000000"/>
                          <w:left w:val="single" w:sz="4" w:space="0" w:color="auto"/>
                          <w:bottom w:val="single" w:sz="4" w:space="0" w:color="auto"/>
                          <w:right w:val="single" w:sz="4" w:space="0" w:color="auto"/>
                        </w:tcBorders>
                        <w:tcMar>
                          <w:top w:w="28" w:type="dxa"/>
                          <w:left w:w="85" w:type="dxa"/>
                          <w:bottom w:w="28" w:type="dxa"/>
                          <w:right w:w="85" w:type="dxa"/>
                        </w:tcMar>
                        <w:hideMark/>
                      </w:tcPr>
                      <w:p w:rsidR="00F93F44" w:rsidRDefault="00F93F44">
                        <w:pPr>
                          <w:jc w:val="center"/>
                          <w:rPr>
                            <w:rFonts w:ascii="Times New Roman" w:hAnsi="Times New Roman" w:cs="Times New Roman"/>
                            <w:b/>
                            <w:lang w:val="en-US" w:eastAsia="en-US"/>
                          </w:rPr>
                        </w:pPr>
                        <w:r>
                          <w:rPr>
                            <w:rFonts w:ascii="Times New Roman" w:hAnsi="Times New Roman" w:cs="Times New Roman"/>
                            <w:b/>
                            <w:sz w:val="22"/>
                            <w:szCs w:val="22"/>
                            <w:lang w:val="en-US" w:eastAsia="en-US"/>
                          </w:rPr>
                          <w:t>National scale of evaluation</w:t>
                        </w:r>
                      </w:p>
                    </w:tc>
                    <w:tc>
                      <w:tcPr>
                        <w:tcW w:w="1988" w:type="dxa"/>
                        <w:tcBorders>
                          <w:top w:val="single" w:sz="6" w:space="0" w:color="000000"/>
                          <w:left w:val="single" w:sz="4" w:space="0" w:color="auto"/>
                          <w:bottom w:val="single" w:sz="4" w:space="0" w:color="auto"/>
                          <w:right w:val="single" w:sz="6" w:space="0" w:color="000000"/>
                        </w:tcBorders>
                        <w:tcMar>
                          <w:top w:w="28" w:type="dxa"/>
                          <w:left w:w="85" w:type="dxa"/>
                          <w:bottom w:w="28" w:type="dxa"/>
                          <w:right w:w="85" w:type="dxa"/>
                        </w:tcMar>
                        <w:hideMark/>
                      </w:tcPr>
                      <w:p w:rsidR="00F93F44" w:rsidRDefault="00F93F44">
                        <w:pPr>
                          <w:jc w:val="center"/>
                          <w:rPr>
                            <w:rFonts w:ascii="Times New Roman" w:hAnsi="Times New Roman" w:cs="Times New Roman"/>
                            <w:b/>
                            <w:lang w:val="en-US" w:eastAsia="en-US"/>
                          </w:rPr>
                        </w:pPr>
                        <w:r>
                          <w:rPr>
                            <w:rFonts w:ascii="Times New Roman" w:hAnsi="Times New Roman" w:cs="Times New Roman"/>
                            <w:b/>
                            <w:sz w:val="22"/>
                            <w:szCs w:val="22"/>
                            <w:lang w:val="en-US" w:eastAsia="en-US"/>
                          </w:rPr>
                          <w:t>Rating Scale</w:t>
                        </w:r>
                      </w:p>
                    </w:tc>
                  </w:tr>
                  <w:tr w:rsidR="00F93F44">
                    <w:trPr>
                      <w:trHeight w:val="126"/>
                    </w:trPr>
                    <w:tc>
                      <w:tcPr>
                        <w:tcW w:w="5840" w:type="dxa"/>
                        <w:tcBorders>
                          <w:top w:val="single" w:sz="4" w:space="0" w:color="auto"/>
                          <w:left w:val="single" w:sz="6" w:space="0" w:color="000000"/>
                          <w:bottom w:val="single" w:sz="4" w:space="0" w:color="auto"/>
                          <w:right w:val="single" w:sz="4" w:space="0" w:color="auto"/>
                        </w:tcBorders>
                        <w:tcMar>
                          <w:top w:w="28" w:type="dxa"/>
                          <w:left w:w="85" w:type="dxa"/>
                          <w:bottom w:w="28" w:type="dxa"/>
                          <w:right w:w="85" w:type="dxa"/>
                        </w:tcMar>
                        <w:hideMark/>
                      </w:tcPr>
                      <w:p w:rsidR="00F93F44" w:rsidRDefault="00F93F44">
                        <w:pPr>
                          <w:jc w:val="both"/>
                          <w:rPr>
                            <w:rFonts w:ascii="Times New Roman" w:hAnsi="Times New Roman" w:cs="Times New Roman"/>
                            <w:lang w:val="en-US" w:eastAsia="en-US"/>
                          </w:rPr>
                        </w:pPr>
                        <w:r>
                          <w:rPr>
                            <w:rFonts w:ascii="Times New Roman" w:hAnsi="Times New Roman" w:cs="Times New Roman"/>
                            <w:sz w:val="22"/>
                            <w:szCs w:val="22"/>
                            <w:lang w:val="en-US" w:eastAsia="en-US"/>
                          </w:rPr>
                          <w:t>Excellent, with a few mistakes</w:t>
                        </w:r>
                      </w:p>
                    </w:tc>
                    <w:tc>
                      <w:tcPr>
                        <w:tcW w:w="185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F93F44" w:rsidRDefault="00F93F44">
                        <w:pPr>
                          <w:jc w:val="center"/>
                          <w:rPr>
                            <w:rFonts w:ascii="Times New Roman" w:hAnsi="Times New Roman" w:cs="Times New Roman"/>
                            <w:lang w:val="en-US" w:eastAsia="en-US"/>
                          </w:rPr>
                        </w:pPr>
                        <w:r>
                          <w:rPr>
                            <w:rFonts w:ascii="Times New Roman" w:hAnsi="Times New Roman" w:cs="Times New Roman"/>
                            <w:sz w:val="22"/>
                            <w:szCs w:val="22"/>
                            <w:lang w:val="en-US" w:eastAsia="en-US"/>
                          </w:rPr>
                          <w:t>5 (excellent)</w:t>
                        </w:r>
                      </w:p>
                    </w:tc>
                    <w:tc>
                      <w:tcPr>
                        <w:tcW w:w="1988" w:type="dxa"/>
                        <w:tcBorders>
                          <w:top w:val="single" w:sz="4" w:space="0" w:color="auto"/>
                          <w:left w:val="single" w:sz="4" w:space="0" w:color="auto"/>
                          <w:bottom w:val="single" w:sz="4" w:space="0" w:color="auto"/>
                          <w:right w:val="single" w:sz="6" w:space="0" w:color="000000"/>
                        </w:tcBorders>
                        <w:tcMar>
                          <w:top w:w="28" w:type="dxa"/>
                          <w:left w:w="85" w:type="dxa"/>
                          <w:bottom w:w="28" w:type="dxa"/>
                          <w:right w:w="85" w:type="dxa"/>
                        </w:tcMar>
                        <w:vAlign w:val="center"/>
                        <w:hideMark/>
                      </w:tcPr>
                      <w:p w:rsidR="00F93F44" w:rsidRDefault="00F93F44">
                        <w:pPr>
                          <w:ind w:firstLine="34"/>
                          <w:jc w:val="center"/>
                          <w:rPr>
                            <w:rFonts w:ascii="Times New Roman" w:hAnsi="Times New Roman" w:cs="Times New Roman"/>
                            <w:lang w:val="en-US" w:eastAsia="en-US"/>
                          </w:rPr>
                        </w:pPr>
                        <w:r>
                          <w:rPr>
                            <w:rFonts w:ascii="Times New Roman" w:hAnsi="Times New Roman" w:cs="Times New Roman"/>
                            <w:sz w:val="22"/>
                            <w:szCs w:val="22"/>
                            <w:lang w:val="en-US" w:eastAsia="en-US"/>
                          </w:rPr>
                          <w:t>90 ≤ RD ≤ 10 0</w:t>
                        </w:r>
                      </w:p>
                    </w:tc>
                  </w:tr>
                  <w:tr w:rsidR="00F93F44">
                    <w:trPr>
                      <w:trHeight w:val="68"/>
                    </w:trPr>
                    <w:tc>
                      <w:tcPr>
                        <w:tcW w:w="5840" w:type="dxa"/>
                        <w:tcBorders>
                          <w:top w:val="single" w:sz="4" w:space="0" w:color="auto"/>
                          <w:left w:val="single" w:sz="6" w:space="0" w:color="000000"/>
                          <w:bottom w:val="single" w:sz="4" w:space="0" w:color="auto"/>
                          <w:right w:val="single" w:sz="4" w:space="0" w:color="auto"/>
                        </w:tcBorders>
                        <w:tcMar>
                          <w:top w:w="28" w:type="dxa"/>
                          <w:left w:w="85" w:type="dxa"/>
                          <w:bottom w:w="28" w:type="dxa"/>
                          <w:right w:w="85" w:type="dxa"/>
                        </w:tcMar>
                        <w:hideMark/>
                      </w:tcPr>
                      <w:p w:rsidR="00F93F44" w:rsidRDefault="00F93F44">
                        <w:pPr>
                          <w:jc w:val="both"/>
                          <w:rPr>
                            <w:rFonts w:ascii="Times New Roman" w:hAnsi="Times New Roman" w:cs="Times New Roman"/>
                            <w:lang w:val="en-US" w:eastAsia="en-US"/>
                          </w:rPr>
                        </w:pPr>
                        <w:r>
                          <w:rPr>
                            <w:rFonts w:ascii="Times New Roman" w:hAnsi="Times New Roman" w:cs="Times New Roman"/>
                            <w:sz w:val="22"/>
                            <w:szCs w:val="22"/>
                            <w:lang w:val="en-US" w:eastAsia="en-US"/>
                          </w:rPr>
                          <w:t>Above average with several mistakes</w:t>
                        </w:r>
                      </w:p>
                    </w:tc>
                    <w:tc>
                      <w:tcPr>
                        <w:tcW w:w="1859" w:type="dxa"/>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F93F44" w:rsidRDefault="00F93F44">
                        <w:pPr>
                          <w:jc w:val="center"/>
                          <w:rPr>
                            <w:rFonts w:ascii="Times New Roman" w:hAnsi="Times New Roman" w:cs="Times New Roman"/>
                            <w:lang w:val="en-US" w:eastAsia="en-US"/>
                          </w:rPr>
                        </w:pPr>
                        <w:r>
                          <w:rPr>
                            <w:rFonts w:ascii="Times New Roman" w:hAnsi="Times New Roman" w:cs="Times New Roman"/>
                            <w:sz w:val="22"/>
                            <w:szCs w:val="22"/>
                            <w:lang w:val="en-US" w:eastAsia="en-US"/>
                          </w:rPr>
                          <w:t>4 (good)</w:t>
                        </w:r>
                      </w:p>
                    </w:tc>
                    <w:tc>
                      <w:tcPr>
                        <w:tcW w:w="1988" w:type="dxa"/>
                        <w:tcBorders>
                          <w:top w:val="single" w:sz="4" w:space="0" w:color="auto"/>
                          <w:left w:val="single" w:sz="4" w:space="0" w:color="auto"/>
                          <w:bottom w:val="single" w:sz="4" w:space="0" w:color="auto"/>
                          <w:right w:val="single" w:sz="6" w:space="0" w:color="000000"/>
                        </w:tcBorders>
                        <w:tcMar>
                          <w:top w:w="28" w:type="dxa"/>
                          <w:left w:w="85" w:type="dxa"/>
                          <w:bottom w:w="28" w:type="dxa"/>
                          <w:right w:w="85" w:type="dxa"/>
                        </w:tcMar>
                        <w:vAlign w:val="center"/>
                        <w:hideMark/>
                      </w:tcPr>
                      <w:p w:rsidR="00F93F44" w:rsidRDefault="00F93F44">
                        <w:pPr>
                          <w:ind w:firstLine="34"/>
                          <w:jc w:val="center"/>
                          <w:rPr>
                            <w:rFonts w:ascii="Times New Roman" w:hAnsi="Times New Roman" w:cs="Times New Roman"/>
                            <w:lang w:val="en-US" w:eastAsia="en-US"/>
                          </w:rPr>
                        </w:pPr>
                        <w:r>
                          <w:rPr>
                            <w:rFonts w:ascii="Times New Roman" w:hAnsi="Times New Roman" w:cs="Times New Roman"/>
                            <w:sz w:val="22"/>
                            <w:szCs w:val="22"/>
                            <w:lang w:val="en-US" w:eastAsia="en-US"/>
                          </w:rPr>
                          <w:t>82 ≤ RD &lt;89</w:t>
                        </w:r>
                      </w:p>
                    </w:tc>
                  </w:tr>
                  <w:tr w:rsidR="00F93F44">
                    <w:trPr>
                      <w:trHeight w:val="63"/>
                    </w:trPr>
                    <w:tc>
                      <w:tcPr>
                        <w:tcW w:w="5840" w:type="dxa"/>
                        <w:tcBorders>
                          <w:top w:val="single" w:sz="4" w:space="0" w:color="auto"/>
                          <w:left w:val="single" w:sz="6" w:space="0" w:color="000000"/>
                          <w:bottom w:val="single" w:sz="4" w:space="0" w:color="auto"/>
                          <w:right w:val="single" w:sz="4" w:space="0" w:color="auto"/>
                        </w:tcBorders>
                        <w:tcMar>
                          <w:top w:w="28" w:type="dxa"/>
                          <w:left w:w="85" w:type="dxa"/>
                          <w:bottom w:w="28" w:type="dxa"/>
                          <w:right w:w="85" w:type="dxa"/>
                        </w:tcMar>
                        <w:hideMark/>
                      </w:tcPr>
                      <w:p w:rsidR="00F93F44" w:rsidRDefault="00F93F44">
                        <w:pPr>
                          <w:jc w:val="both"/>
                          <w:rPr>
                            <w:rFonts w:ascii="Times New Roman" w:hAnsi="Times New Roman" w:cs="Times New Roman"/>
                            <w:lang w:val="en-US" w:eastAsia="en-US"/>
                          </w:rPr>
                        </w:pPr>
                        <w:r>
                          <w:rPr>
                            <w:rFonts w:ascii="Times New Roman" w:hAnsi="Times New Roman" w:cs="Times New Roman"/>
                            <w:sz w:val="22"/>
                            <w:szCs w:val="22"/>
                            <w:lang w:val="en-US" w:eastAsia="en-US"/>
                          </w:rPr>
                          <w:t>In general, the correct work with a certain number of errors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4" w:rsidRDefault="00F93F44">
                        <w:pPr>
                          <w:rPr>
                            <w:rFonts w:ascii="Times New Roman" w:hAnsi="Times New Roman" w:cs="Times New Roman"/>
                            <w:lang w:val="en-US" w:eastAsia="en-US"/>
                          </w:rPr>
                        </w:pPr>
                      </w:p>
                    </w:tc>
                    <w:tc>
                      <w:tcPr>
                        <w:tcW w:w="1988" w:type="dxa"/>
                        <w:tcBorders>
                          <w:top w:val="single" w:sz="4" w:space="0" w:color="auto"/>
                          <w:left w:val="single" w:sz="4" w:space="0" w:color="auto"/>
                          <w:bottom w:val="single" w:sz="4" w:space="0" w:color="auto"/>
                          <w:right w:val="single" w:sz="6" w:space="0" w:color="000000"/>
                        </w:tcBorders>
                        <w:tcMar>
                          <w:top w:w="28" w:type="dxa"/>
                          <w:left w:w="85" w:type="dxa"/>
                          <w:bottom w:w="28" w:type="dxa"/>
                          <w:right w:w="85" w:type="dxa"/>
                        </w:tcMar>
                        <w:vAlign w:val="center"/>
                        <w:hideMark/>
                      </w:tcPr>
                      <w:p w:rsidR="00F93F44" w:rsidRDefault="00F93F44">
                        <w:pPr>
                          <w:ind w:firstLine="34"/>
                          <w:jc w:val="center"/>
                          <w:rPr>
                            <w:rFonts w:ascii="Times New Roman" w:hAnsi="Times New Roman" w:cs="Times New Roman"/>
                            <w:lang w:val="en-US" w:eastAsia="en-US"/>
                          </w:rPr>
                        </w:pPr>
                        <w:r>
                          <w:rPr>
                            <w:rFonts w:ascii="Times New Roman" w:hAnsi="Times New Roman" w:cs="Times New Roman"/>
                            <w:sz w:val="22"/>
                            <w:szCs w:val="22"/>
                            <w:lang w:val="en-US" w:eastAsia="en-US"/>
                          </w:rPr>
                          <w:t>74 ≤ RD &lt;81</w:t>
                        </w:r>
                      </w:p>
                    </w:tc>
                  </w:tr>
                  <w:tr w:rsidR="00F93F44">
                    <w:trPr>
                      <w:trHeight w:val="63"/>
                    </w:trPr>
                    <w:tc>
                      <w:tcPr>
                        <w:tcW w:w="5840" w:type="dxa"/>
                        <w:tcBorders>
                          <w:top w:val="single" w:sz="4" w:space="0" w:color="auto"/>
                          <w:left w:val="single" w:sz="6" w:space="0" w:color="000000"/>
                          <w:bottom w:val="single" w:sz="4" w:space="0" w:color="auto"/>
                          <w:right w:val="single" w:sz="4" w:space="0" w:color="auto"/>
                        </w:tcBorders>
                        <w:tcMar>
                          <w:top w:w="28" w:type="dxa"/>
                          <w:left w:w="85" w:type="dxa"/>
                          <w:bottom w:w="28" w:type="dxa"/>
                          <w:right w:w="85" w:type="dxa"/>
                        </w:tcMar>
                        <w:hideMark/>
                      </w:tcPr>
                      <w:p w:rsidR="00F93F44" w:rsidRDefault="00F93F44">
                        <w:pPr>
                          <w:jc w:val="both"/>
                          <w:rPr>
                            <w:rFonts w:ascii="Times New Roman" w:hAnsi="Times New Roman" w:cs="Times New Roman"/>
                            <w:lang w:val="en-US" w:eastAsia="en-US"/>
                          </w:rPr>
                        </w:pPr>
                        <w:r>
                          <w:rPr>
                            <w:rFonts w:ascii="Times New Roman" w:hAnsi="Times New Roman" w:cs="Times New Roman"/>
                            <w:sz w:val="22"/>
                            <w:szCs w:val="22"/>
                            <w:lang w:val="en-US" w:eastAsia="en-US"/>
                          </w:rPr>
                          <w:lastRenderedPageBreak/>
                          <w:t>Not bad, but with a lot of shortcomings</w:t>
                        </w:r>
                      </w:p>
                    </w:tc>
                    <w:tc>
                      <w:tcPr>
                        <w:tcW w:w="1859" w:type="dxa"/>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hideMark/>
                      </w:tcPr>
                      <w:p w:rsidR="00F93F44" w:rsidRDefault="00F93F44">
                        <w:pPr>
                          <w:jc w:val="center"/>
                          <w:rPr>
                            <w:rFonts w:ascii="Times New Roman" w:hAnsi="Times New Roman" w:cs="Times New Roman"/>
                            <w:lang w:val="en-US" w:eastAsia="en-US"/>
                          </w:rPr>
                        </w:pPr>
                        <w:r>
                          <w:rPr>
                            <w:rFonts w:ascii="Times New Roman" w:hAnsi="Times New Roman" w:cs="Times New Roman"/>
                            <w:sz w:val="22"/>
                            <w:szCs w:val="22"/>
                            <w:lang w:val="en-US" w:eastAsia="en-US"/>
                          </w:rPr>
                          <w:t>3 (satisfactory)</w:t>
                        </w:r>
                      </w:p>
                    </w:tc>
                    <w:tc>
                      <w:tcPr>
                        <w:tcW w:w="1988" w:type="dxa"/>
                        <w:tcBorders>
                          <w:top w:val="single" w:sz="4" w:space="0" w:color="auto"/>
                          <w:left w:val="single" w:sz="4" w:space="0" w:color="auto"/>
                          <w:bottom w:val="single" w:sz="4" w:space="0" w:color="auto"/>
                          <w:right w:val="single" w:sz="6" w:space="0" w:color="000000"/>
                        </w:tcBorders>
                        <w:tcMar>
                          <w:top w:w="28" w:type="dxa"/>
                          <w:left w:w="85" w:type="dxa"/>
                          <w:bottom w:w="28" w:type="dxa"/>
                          <w:right w:w="85" w:type="dxa"/>
                        </w:tcMar>
                        <w:vAlign w:val="center"/>
                        <w:hideMark/>
                      </w:tcPr>
                      <w:p w:rsidR="00F93F44" w:rsidRDefault="00F93F44">
                        <w:pPr>
                          <w:ind w:firstLine="34"/>
                          <w:jc w:val="center"/>
                          <w:rPr>
                            <w:rFonts w:ascii="Times New Roman" w:hAnsi="Times New Roman" w:cs="Times New Roman"/>
                            <w:lang w:val="en-US" w:eastAsia="en-US"/>
                          </w:rPr>
                        </w:pPr>
                        <w:r>
                          <w:rPr>
                            <w:rFonts w:ascii="Times New Roman" w:hAnsi="Times New Roman" w:cs="Times New Roman"/>
                            <w:sz w:val="22"/>
                            <w:szCs w:val="22"/>
                            <w:lang w:val="en-US" w:eastAsia="en-US"/>
                          </w:rPr>
                          <w:t>64 ≤ RD &lt;73</w:t>
                        </w:r>
                      </w:p>
                    </w:tc>
                  </w:tr>
                  <w:tr w:rsidR="00F93F44">
                    <w:trPr>
                      <w:trHeight w:val="63"/>
                    </w:trPr>
                    <w:tc>
                      <w:tcPr>
                        <w:tcW w:w="5840" w:type="dxa"/>
                        <w:tcBorders>
                          <w:top w:val="single" w:sz="4" w:space="0" w:color="auto"/>
                          <w:left w:val="single" w:sz="6" w:space="0" w:color="000000"/>
                          <w:bottom w:val="single" w:sz="4" w:space="0" w:color="auto"/>
                          <w:right w:val="single" w:sz="4" w:space="0" w:color="auto"/>
                        </w:tcBorders>
                        <w:tcMar>
                          <w:top w:w="28" w:type="dxa"/>
                          <w:left w:w="85" w:type="dxa"/>
                          <w:bottom w:w="28" w:type="dxa"/>
                          <w:right w:w="85" w:type="dxa"/>
                        </w:tcMar>
                        <w:hideMark/>
                      </w:tcPr>
                      <w:p w:rsidR="00F93F44" w:rsidRDefault="00F93F44">
                        <w:pPr>
                          <w:jc w:val="both"/>
                          <w:rPr>
                            <w:rFonts w:ascii="Times New Roman" w:hAnsi="Times New Roman" w:cs="Times New Roman"/>
                            <w:lang w:val="en-US" w:eastAsia="en-US"/>
                          </w:rPr>
                        </w:pPr>
                        <w:r>
                          <w:rPr>
                            <w:rFonts w:ascii="Times New Roman" w:hAnsi="Times New Roman" w:cs="Times New Roman"/>
                            <w:sz w:val="22"/>
                            <w:szCs w:val="22"/>
                            <w:lang w:val="en-US" w:eastAsia="en-US"/>
                          </w:rPr>
                          <w:t>Performance meets the minimum criteria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3F44" w:rsidRDefault="00F93F44">
                        <w:pPr>
                          <w:rPr>
                            <w:rFonts w:ascii="Times New Roman" w:hAnsi="Times New Roman" w:cs="Times New Roman"/>
                            <w:lang w:val="en-US" w:eastAsia="en-US"/>
                          </w:rPr>
                        </w:pPr>
                      </w:p>
                    </w:tc>
                    <w:tc>
                      <w:tcPr>
                        <w:tcW w:w="1988" w:type="dxa"/>
                        <w:tcBorders>
                          <w:top w:val="single" w:sz="4" w:space="0" w:color="auto"/>
                          <w:left w:val="single" w:sz="4" w:space="0" w:color="auto"/>
                          <w:bottom w:val="single" w:sz="4" w:space="0" w:color="auto"/>
                          <w:right w:val="single" w:sz="6" w:space="0" w:color="000000"/>
                        </w:tcBorders>
                        <w:tcMar>
                          <w:top w:w="28" w:type="dxa"/>
                          <w:left w:w="85" w:type="dxa"/>
                          <w:bottom w:w="28" w:type="dxa"/>
                          <w:right w:w="85" w:type="dxa"/>
                        </w:tcMar>
                        <w:vAlign w:val="center"/>
                        <w:hideMark/>
                      </w:tcPr>
                      <w:p w:rsidR="00F93F44" w:rsidRDefault="00F93F44">
                        <w:pPr>
                          <w:ind w:firstLine="34"/>
                          <w:jc w:val="center"/>
                          <w:rPr>
                            <w:rFonts w:ascii="Times New Roman" w:hAnsi="Times New Roman" w:cs="Times New Roman"/>
                            <w:lang w:val="en-US" w:eastAsia="en-US"/>
                          </w:rPr>
                        </w:pPr>
                        <w:r>
                          <w:rPr>
                            <w:rFonts w:ascii="Times New Roman" w:hAnsi="Times New Roman" w:cs="Times New Roman"/>
                            <w:sz w:val="22"/>
                            <w:szCs w:val="22"/>
                            <w:lang w:val="en-US" w:eastAsia="en-US"/>
                          </w:rPr>
                          <w:t>60 ≤ RD &lt;63</w:t>
                        </w:r>
                      </w:p>
                    </w:tc>
                  </w:tr>
                  <w:tr w:rsidR="00F93F44">
                    <w:trPr>
                      <w:trHeight w:val="63"/>
                    </w:trPr>
                    <w:tc>
                      <w:tcPr>
                        <w:tcW w:w="5840" w:type="dxa"/>
                        <w:tcBorders>
                          <w:top w:val="single" w:sz="4" w:space="0" w:color="auto"/>
                          <w:left w:val="single" w:sz="6" w:space="0" w:color="000000"/>
                          <w:bottom w:val="single" w:sz="4" w:space="0" w:color="auto"/>
                          <w:right w:val="single" w:sz="4" w:space="0" w:color="auto"/>
                        </w:tcBorders>
                        <w:tcMar>
                          <w:top w:w="28" w:type="dxa"/>
                          <w:left w:w="85" w:type="dxa"/>
                          <w:bottom w:w="28" w:type="dxa"/>
                          <w:right w:w="85" w:type="dxa"/>
                        </w:tcMar>
                        <w:hideMark/>
                      </w:tcPr>
                      <w:p w:rsidR="00F93F44" w:rsidRDefault="00F93F44">
                        <w:pPr>
                          <w:jc w:val="both"/>
                          <w:rPr>
                            <w:rFonts w:ascii="Times New Roman" w:hAnsi="Times New Roman" w:cs="Times New Roman"/>
                            <w:lang w:val="en-US" w:eastAsia="en-US"/>
                          </w:rPr>
                        </w:pPr>
                        <w:r>
                          <w:rPr>
                            <w:rFonts w:ascii="Times New Roman" w:hAnsi="Times New Roman" w:cs="Times New Roman"/>
                            <w:sz w:val="22"/>
                            <w:szCs w:val="22"/>
                            <w:lang w:val="en-US" w:eastAsia="en-US"/>
                          </w:rPr>
                          <w:t>Possible re-taking</w:t>
                        </w:r>
                      </w:p>
                    </w:tc>
                    <w:tc>
                      <w:tcPr>
                        <w:tcW w:w="1859" w:type="dxa"/>
                        <w:vMerge w:val="restart"/>
                        <w:tcBorders>
                          <w:top w:val="single" w:sz="4" w:space="0" w:color="auto"/>
                          <w:left w:val="single" w:sz="4" w:space="0" w:color="auto"/>
                          <w:bottom w:val="single" w:sz="6" w:space="0" w:color="000000"/>
                          <w:right w:val="single" w:sz="4" w:space="0" w:color="auto"/>
                        </w:tcBorders>
                        <w:tcMar>
                          <w:top w:w="28" w:type="dxa"/>
                          <w:left w:w="85" w:type="dxa"/>
                          <w:bottom w:w="28" w:type="dxa"/>
                          <w:right w:w="85" w:type="dxa"/>
                        </w:tcMar>
                        <w:vAlign w:val="center"/>
                        <w:hideMark/>
                      </w:tcPr>
                      <w:p w:rsidR="00F93F44" w:rsidRDefault="00F93F44">
                        <w:pPr>
                          <w:jc w:val="center"/>
                          <w:rPr>
                            <w:rFonts w:ascii="Times New Roman" w:hAnsi="Times New Roman" w:cs="Times New Roman"/>
                            <w:lang w:val="en-US" w:eastAsia="en-US"/>
                          </w:rPr>
                        </w:pPr>
                        <w:r>
                          <w:rPr>
                            <w:rFonts w:ascii="Times New Roman" w:hAnsi="Times New Roman" w:cs="Times New Roman"/>
                            <w:sz w:val="22"/>
                            <w:szCs w:val="22"/>
                            <w:lang w:val="en-US" w:eastAsia="en-US"/>
                          </w:rPr>
                          <w:t>2 (unsatisfactory)</w:t>
                        </w:r>
                      </w:p>
                    </w:tc>
                    <w:tc>
                      <w:tcPr>
                        <w:tcW w:w="1988" w:type="dxa"/>
                        <w:tcBorders>
                          <w:top w:val="single" w:sz="4" w:space="0" w:color="auto"/>
                          <w:left w:val="single" w:sz="4" w:space="0" w:color="auto"/>
                          <w:bottom w:val="single" w:sz="4" w:space="0" w:color="auto"/>
                          <w:right w:val="single" w:sz="6" w:space="0" w:color="000000"/>
                        </w:tcBorders>
                        <w:tcMar>
                          <w:top w:w="28" w:type="dxa"/>
                          <w:left w:w="85" w:type="dxa"/>
                          <w:bottom w:w="28" w:type="dxa"/>
                          <w:right w:w="85" w:type="dxa"/>
                        </w:tcMar>
                        <w:vAlign w:val="center"/>
                        <w:hideMark/>
                      </w:tcPr>
                      <w:p w:rsidR="00F93F44" w:rsidRDefault="00F93F44">
                        <w:pPr>
                          <w:ind w:firstLine="34"/>
                          <w:jc w:val="center"/>
                          <w:rPr>
                            <w:rFonts w:ascii="Times New Roman" w:hAnsi="Times New Roman" w:cs="Times New Roman"/>
                            <w:lang w:val="en-US" w:eastAsia="en-US"/>
                          </w:rPr>
                        </w:pPr>
                        <w:r>
                          <w:rPr>
                            <w:rFonts w:ascii="Times New Roman" w:hAnsi="Times New Roman" w:cs="Times New Roman"/>
                            <w:sz w:val="22"/>
                            <w:szCs w:val="22"/>
                            <w:lang w:val="en-US" w:eastAsia="en-US"/>
                          </w:rPr>
                          <w:t>35 ≤ RD &lt;59</w:t>
                        </w:r>
                      </w:p>
                    </w:tc>
                  </w:tr>
                  <w:tr w:rsidR="00F93F44">
                    <w:trPr>
                      <w:trHeight w:val="63"/>
                    </w:trPr>
                    <w:tc>
                      <w:tcPr>
                        <w:tcW w:w="5840" w:type="dxa"/>
                        <w:tcBorders>
                          <w:top w:val="single" w:sz="4" w:space="0" w:color="auto"/>
                          <w:left w:val="single" w:sz="6" w:space="0" w:color="000000"/>
                          <w:bottom w:val="single" w:sz="6" w:space="0" w:color="000000"/>
                          <w:right w:val="single" w:sz="4" w:space="0" w:color="auto"/>
                        </w:tcBorders>
                        <w:tcMar>
                          <w:top w:w="28" w:type="dxa"/>
                          <w:left w:w="85" w:type="dxa"/>
                          <w:bottom w:w="28" w:type="dxa"/>
                          <w:right w:w="85" w:type="dxa"/>
                        </w:tcMar>
                        <w:hideMark/>
                      </w:tcPr>
                      <w:p w:rsidR="00F93F44" w:rsidRDefault="00F93F44">
                        <w:pPr>
                          <w:jc w:val="both"/>
                          <w:rPr>
                            <w:rFonts w:ascii="Times New Roman" w:hAnsi="Times New Roman" w:cs="Times New Roman"/>
                            <w:lang w:val="en-US" w:eastAsia="en-US"/>
                          </w:rPr>
                        </w:pPr>
                        <w:r>
                          <w:rPr>
                            <w:rFonts w:ascii="Times New Roman" w:hAnsi="Times New Roman" w:cs="Times New Roman"/>
                            <w:sz w:val="22"/>
                            <w:szCs w:val="22"/>
                            <w:lang w:val="en-US" w:eastAsia="en-US"/>
                          </w:rPr>
                          <w:t>The required repeated course</w:t>
                        </w:r>
                      </w:p>
                    </w:tc>
                    <w:tc>
                      <w:tcPr>
                        <w:tcW w:w="0" w:type="auto"/>
                        <w:vMerge/>
                        <w:tcBorders>
                          <w:top w:val="single" w:sz="4" w:space="0" w:color="auto"/>
                          <w:left w:val="single" w:sz="4" w:space="0" w:color="auto"/>
                          <w:bottom w:val="single" w:sz="6" w:space="0" w:color="000000"/>
                          <w:right w:val="single" w:sz="4" w:space="0" w:color="auto"/>
                        </w:tcBorders>
                        <w:vAlign w:val="center"/>
                        <w:hideMark/>
                      </w:tcPr>
                      <w:p w:rsidR="00F93F44" w:rsidRDefault="00F93F44">
                        <w:pPr>
                          <w:rPr>
                            <w:rFonts w:ascii="Times New Roman" w:hAnsi="Times New Roman" w:cs="Times New Roman"/>
                            <w:lang w:val="en-US" w:eastAsia="en-US"/>
                          </w:rPr>
                        </w:pPr>
                      </w:p>
                    </w:tc>
                    <w:tc>
                      <w:tcPr>
                        <w:tcW w:w="1988" w:type="dxa"/>
                        <w:tcBorders>
                          <w:top w:val="single" w:sz="4" w:space="0" w:color="auto"/>
                          <w:left w:val="single" w:sz="4" w:space="0" w:color="auto"/>
                          <w:bottom w:val="single" w:sz="6" w:space="0" w:color="000000"/>
                          <w:right w:val="single" w:sz="6" w:space="0" w:color="000000"/>
                        </w:tcBorders>
                        <w:tcMar>
                          <w:top w:w="28" w:type="dxa"/>
                          <w:left w:w="85" w:type="dxa"/>
                          <w:bottom w:w="28" w:type="dxa"/>
                          <w:right w:w="85" w:type="dxa"/>
                        </w:tcMar>
                        <w:vAlign w:val="center"/>
                        <w:hideMark/>
                      </w:tcPr>
                      <w:p w:rsidR="00F93F44" w:rsidRDefault="00F93F44">
                        <w:pPr>
                          <w:ind w:firstLine="34"/>
                          <w:jc w:val="center"/>
                          <w:rPr>
                            <w:rFonts w:ascii="Times New Roman" w:hAnsi="Times New Roman" w:cs="Times New Roman"/>
                            <w:lang w:val="en-US" w:eastAsia="en-US"/>
                          </w:rPr>
                        </w:pPr>
                        <w:r>
                          <w:rPr>
                            <w:rFonts w:ascii="Times New Roman" w:hAnsi="Times New Roman" w:cs="Times New Roman"/>
                            <w:sz w:val="22"/>
                            <w:szCs w:val="22"/>
                            <w:lang w:val="en-US" w:eastAsia="en-US"/>
                          </w:rPr>
                          <w:t>RD &lt;34</w:t>
                        </w:r>
                      </w:p>
                    </w:tc>
                  </w:tr>
                </w:tbl>
                <w:p w:rsidR="00F93F44" w:rsidRDefault="00F93F44">
                  <w:pPr>
                    <w:jc w:val="both"/>
                    <w:rPr>
                      <w:rFonts w:ascii="Times New Roman" w:hAnsi="Times New Roman" w:cs="Times New Roman"/>
                      <w:lang w:val="en-US" w:eastAsia="en-US"/>
                    </w:rPr>
                  </w:pPr>
                  <w:r>
                    <w:rPr>
                      <w:rFonts w:ascii="Times New Roman" w:hAnsi="Times New Roman" w:cs="Times New Roman"/>
                      <w:sz w:val="22"/>
                      <w:szCs w:val="22"/>
                      <w:lang w:val="en-US" w:eastAsia="en-US"/>
                    </w:rPr>
                    <w:t>Students who have a rating point per semester less than 35 points, passing to the final semester control is not allowed.</w:t>
                  </w:r>
                </w:p>
              </w:tc>
            </w:tr>
          </w:tbl>
          <w:p w:rsidR="00F93F44" w:rsidRDefault="00F93F44">
            <w:pPr>
              <w:rPr>
                <w:rFonts w:ascii="Times New Roman" w:hAnsi="Times New Roman" w:cs="Times New Roman"/>
                <w:b/>
                <w:color w:val="000000" w:themeColor="text1"/>
                <w:sz w:val="26"/>
                <w:szCs w:val="26"/>
                <w:lang w:val="en-GB"/>
              </w:rPr>
            </w:pPr>
          </w:p>
        </w:tc>
      </w:tr>
      <w:tr w:rsidR="00F93F44" w:rsidTr="00F93F4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pStyle w:val="HTML"/>
              <w:shd w:val="clear" w:color="auto" w:fill="F8F9FA"/>
              <w:spacing w:line="360" w:lineRule="auto"/>
              <w:rPr>
                <w:rFonts w:ascii="Times New Roman" w:hAnsi="Times New Roman" w:cs="Times New Roman"/>
                <w:b/>
                <w:color w:val="000000" w:themeColor="text1"/>
                <w:sz w:val="26"/>
                <w:szCs w:val="26"/>
                <w:lang w:val="en-GB" w:eastAsia="ru-RU"/>
              </w:rPr>
            </w:pPr>
            <w:r>
              <w:rPr>
                <w:rFonts w:ascii="Times New Roman" w:hAnsi="Times New Roman" w:cs="Times New Roman"/>
                <w:b/>
                <w:color w:val="000000" w:themeColor="text1"/>
                <w:sz w:val="26"/>
                <w:szCs w:val="26"/>
                <w:lang w:val="en-GB" w:eastAsia="ru-RU"/>
              </w:rPr>
              <w:lastRenderedPageBreak/>
              <w:t xml:space="preserve">9.2 </w:t>
            </w:r>
            <w:r>
              <w:rPr>
                <w:rFonts w:ascii="Times New Roman" w:eastAsia="Arial Unicode MS" w:hAnsi="Times New Roman" w:cs="Times New Roman"/>
                <w:b/>
                <w:color w:val="000000" w:themeColor="text1"/>
                <w:sz w:val="26"/>
                <w:szCs w:val="26"/>
                <w:lang w:val="en-GB" w:eastAsia="ru-RU"/>
              </w:rPr>
              <w:t>Formative assessment</w:t>
            </w:r>
          </w:p>
        </w:tc>
      </w:tr>
      <w:tr w:rsidR="00F93F44" w:rsidTr="00F93F4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rPr>
                <w:rFonts w:ascii="Times New Roman" w:hAnsi="Times New Roman" w:cs="Times New Roman" w:hint="eastAsia"/>
                <w:sz w:val="26"/>
                <w:szCs w:val="26"/>
                <w:lang w:val="en-GB"/>
              </w:rPr>
            </w:pPr>
            <w:r>
              <w:rPr>
                <w:rFonts w:ascii="Times New Roman" w:hAnsi="Times New Roman" w:cs="Times New Roman"/>
                <w:sz w:val="26"/>
                <w:szCs w:val="26"/>
                <w:lang w:val="en-GB"/>
              </w:rPr>
              <w:t xml:space="preserve">The discipline provides </w:t>
            </w:r>
            <w:r>
              <w:rPr>
                <w:rFonts w:ascii="Times New Roman" w:hAnsi="Times New Roman" w:cs="Times New Roman"/>
                <w:i/>
                <w:sz w:val="26"/>
                <w:szCs w:val="26"/>
                <w:lang w:val="en-GB"/>
              </w:rPr>
              <w:t>the following assessment methods</w:t>
            </w:r>
            <w:r>
              <w:rPr>
                <w:rFonts w:ascii="Times New Roman" w:hAnsi="Times New Roman" w:cs="Times New Roman"/>
                <w:sz w:val="26"/>
                <w:szCs w:val="26"/>
                <w:lang w:val="en-GB"/>
              </w:rPr>
              <w:t>:</w:t>
            </w:r>
          </w:p>
          <w:p w:rsidR="00F93F44" w:rsidRDefault="00F93F44">
            <w:pPr>
              <w:rPr>
                <w:rFonts w:ascii="Times New Roman" w:hAnsi="Times New Roman" w:cs="Times New Roman"/>
                <w:sz w:val="26"/>
                <w:szCs w:val="26"/>
                <w:lang w:val="en-GB"/>
              </w:rPr>
            </w:pPr>
            <w:r>
              <w:rPr>
                <w:rFonts w:ascii="Times New Roman" w:hAnsi="Times New Roman" w:cs="Times New Roman"/>
                <w:sz w:val="26"/>
                <w:szCs w:val="26"/>
                <w:lang w:val="en-GB"/>
              </w:rPr>
              <w:t>- current knowledge checking (frontal or selective questioning);</w:t>
            </w:r>
          </w:p>
          <w:p w:rsidR="00F93F44" w:rsidRDefault="00F93F44">
            <w:pPr>
              <w:rPr>
                <w:rFonts w:ascii="Times New Roman" w:hAnsi="Times New Roman" w:cs="Times New Roman"/>
                <w:sz w:val="26"/>
                <w:szCs w:val="26"/>
                <w:lang w:val="en-GB"/>
              </w:rPr>
            </w:pPr>
            <w:r>
              <w:rPr>
                <w:rFonts w:ascii="Times New Roman" w:hAnsi="Times New Roman" w:cs="Times New Roman"/>
                <w:sz w:val="26"/>
                <w:szCs w:val="26"/>
                <w:lang w:val="en-GB"/>
              </w:rPr>
              <w:t>- testing, verification and evaluation of essays;</w:t>
            </w:r>
          </w:p>
          <w:p w:rsidR="00F93F44" w:rsidRDefault="00F93F44">
            <w:pPr>
              <w:rPr>
                <w:rFonts w:ascii="Times New Roman" w:hAnsi="Times New Roman" w:cs="Times New Roman"/>
                <w:sz w:val="26"/>
                <w:szCs w:val="26"/>
                <w:lang w:val="en-GB"/>
              </w:rPr>
            </w:pPr>
            <w:r>
              <w:rPr>
                <w:rFonts w:ascii="Times New Roman" w:hAnsi="Times New Roman" w:cs="Times New Roman"/>
                <w:sz w:val="26"/>
                <w:szCs w:val="26"/>
                <w:lang w:val="en-GB"/>
              </w:rPr>
              <w:t>- presentations (completed tasks, essays, cases);</w:t>
            </w:r>
          </w:p>
          <w:p w:rsidR="00F93F44" w:rsidRDefault="00F93F44">
            <w:pPr>
              <w:rPr>
                <w:rFonts w:ascii="Times New Roman" w:hAnsi="Times New Roman" w:cs="Times New Roman"/>
                <w:sz w:val="26"/>
                <w:szCs w:val="26"/>
                <w:lang w:val="en-GB"/>
              </w:rPr>
            </w:pPr>
            <w:r>
              <w:rPr>
                <w:rFonts w:ascii="Times New Roman" w:hAnsi="Times New Roman" w:cs="Times New Roman"/>
                <w:sz w:val="26"/>
                <w:szCs w:val="26"/>
                <w:lang w:val="en-GB"/>
              </w:rPr>
              <w:t xml:space="preserve">- </w:t>
            </w:r>
            <w:proofErr w:type="gramStart"/>
            <w:r>
              <w:rPr>
                <w:rFonts w:ascii="Times New Roman" w:hAnsi="Times New Roman" w:cs="Times New Roman"/>
                <w:sz w:val="26"/>
                <w:szCs w:val="26"/>
                <w:lang w:val="en-GB"/>
              </w:rPr>
              <w:t>practical</w:t>
            </w:r>
            <w:proofErr w:type="gramEnd"/>
            <w:r>
              <w:rPr>
                <w:rFonts w:ascii="Times New Roman" w:hAnsi="Times New Roman" w:cs="Times New Roman"/>
                <w:sz w:val="26"/>
                <w:szCs w:val="26"/>
                <w:lang w:val="en-GB"/>
              </w:rPr>
              <w:t xml:space="preserve"> testing and self-assessment.</w:t>
            </w:r>
          </w:p>
          <w:p w:rsidR="00F93F44" w:rsidRDefault="00F93F44">
            <w:pPr>
              <w:rPr>
                <w:rFonts w:ascii="Times New Roman" w:hAnsi="Times New Roman" w:cs="Times New Roman"/>
                <w:b/>
                <w:color w:val="000000" w:themeColor="text1"/>
                <w:sz w:val="26"/>
                <w:szCs w:val="26"/>
                <w:lang w:val="en-GB"/>
              </w:rPr>
            </w:pPr>
            <w:r>
              <w:rPr>
                <w:rFonts w:ascii="Times New Roman" w:hAnsi="Times New Roman" w:cs="Times New Roman"/>
                <w:sz w:val="26"/>
                <w:szCs w:val="26"/>
                <w:lang w:val="en-GB"/>
              </w:rPr>
              <w:t xml:space="preserve">Namely, the methods of </w:t>
            </w:r>
            <w:r>
              <w:rPr>
                <w:rFonts w:ascii="Times New Roman" w:hAnsi="Times New Roman" w:cs="Times New Roman"/>
                <w:i/>
                <w:sz w:val="26"/>
                <w:szCs w:val="26"/>
                <w:lang w:val="en-GB"/>
              </w:rPr>
              <w:t>formative assessment</w:t>
            </w:r>
            <w:r>
              <w:rPr>
                <w:rFonts w:ascii="Times New Roman" w:hAnsi="Times New Roman" w:cs="Times New Roman"/>
                <w:sz w:val="26"/>
                <w:szCs w:val="26"/>
                <w:lang w:val="en-GB"/>
              </w:rPr>
              <w:t>: interviewing and oral comments of the lecturer on the main results, lecturer's guidance in the process of practical work; self-assessment of current testing; discussing and evaluating students' completed practical tasks.</w:t>
            </w:r>
          </w:p>
        </w:tc>
      </w:tr>
      <w:tr w:rsidR="00F93F44" w:rsidTr="00F93F4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pStyle w:val="HTML"/>
              <w:shd w:val="clear" w:color="auto" w:fill="F8F9FA"/>
              <w:spacing w:line="360" w:lineRule="auto"/>
              <w:rPr>
                <w:rFonts w:ascii="Times New Roman" w:hAnsi="Times New Roman" w:cs="Times New Roman"/>
                <w:b/>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9.3 </w:t>
            </w:r>
            <w:r>
              <w:rPr>
                <w:rFonts w:ascii="Times New Roman" w:eastAsia="Arial Unicode MS" w:hAnsi="Times New Roman" w:cs="Times New Roman"/>
                <w:b/>
                <w:color w:val="000000" w:themeColor="text1"/>
                <w:sz w:val="26"/>
                <w:szCs w:val="26"/>
                <w:lang w:val="en-GB" w:eastAsia="ru-RU"/>
              </w:rPr>
              <w:t>Summative assessment</w:t>
            </w:r>
          </w:p>
        </w:tc>
      </w:tr>
      <w:tr w:rsidR="00F93F44" w:rsidTr="00F93F44">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93F44" w:rsidRDefault="00F93F44">
            <w:pPr>
              <w:rPr>
                <w:rFonts w:ascii="Times New Roman" w:hAnsi="Times New Roman" w:cs="Times New Roman" w:hint="eastAsia"/>
                <w:color w:val="000000" w:themeColor="text1"/>
                <w:sz w:val="26"/>
                <w:szCs w:val="26"/>
                <w:lang w:val="en-GB"/>
              </w:rPr>
            </w:pPr>
            <w:r>
              <w:rPr>
                <w:rFonts w:ascii="Times New Roman" w:hAnsi="Times New Roman" w:cs="Times New Roman"/>
                <w:color w:val="000000" w:themeColor="text1"/>
                <w:sz w:val="26"/>
                <w:szCs w:val="26"/>
                <w:lang w:val="en-GB"/>
              </w:rPr>
              <w:t>Assessment during the semester is in the form of oral frontal or selective questioning (M 1), essay tests (M 2), group research assignment (M 3), individual practical assignment (M 4), testing (M 5).</w:t>
            </w:r>
          </w:p>
          <w:p w:rsidR="00F93F44" w:rsidRDefault="00F93F44">
            <w:p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The student's grade is formed as follows:</w:t>
            </w:r>
          </w:p>
          <w:p w:rsidR="00F93F44" w:rsidRDefault="00F93F44">
            <w:p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1. accomplishment of tasks on practical training 40 points;</w:t>
            </w:r>
          </w:p>
          <w:p w:rsidR="00F93F44" w:rsidRDefault="00F93F44">
            <w:p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2. preparation of an essay (writing, presentation, discussion) 20 points;</w:t>
            </w:r>
          </w:p>
          <w:p w:rsidR="00F93F44" w:rsidRDefault="00F93F44">
            <w:p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3. carrying out a group research assignment (10 points);</w:t>
            </w:r>
          </w:p>
          <w:p w:rsidR="00F93F44" w:rsidRDefault="00F93F44">
            <w:p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4. individual task execution (analysis of ECtHR decision) (10 points);</w:t>
            </w:r>
          </w:p>
          <w:p w:rsidR="00F93F44" w:rsidRDefault="00F93F44">
            <w:p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5. </w:t>
            </w:r>
            <w:proofErr w:type="gramStart"/>
            <w:r>
              <w:rPr>
                <w:rFonts w:ascii="Times New Roman" w:hAnsi="Times New Roman" w:cs="Times New Roman"/>
                <w:color w:val="000000" w:themeColor="text1"/>
                <w:sz w:val="26"/>
                <w:szCs w:val="26"/>
                <w:lang w:val="en-GB"/>
              </w:rPr>
              <w:t>test</w:t>
            </w:r>
            <w:proofErr w:type="gramEnd"/>
            <w:r>
              <w:rPr>
                <w:rFonts w:ascii="Times New Roman" w:hAnsi="Times New Roman" w:cs="Times New Roman"/>
                <w:color w:val="000000" w:themeColor="text1"/>
                <w:sz w:val="26"/>
                <w:szCs w:val="26"/>
                <w:lang w:val="en-GB"/>
              </w:rPr>
              <w:t xml:space="preserve"> work (tests) 20 points.</w:t>
            </w:r>
          </w:p>
          <w:p w:rsidR="00F93F44" w:rsidRDefault="00F93F44">
            <w:p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In special situations, work during the semester can be done remotely on the MIX platform (www.mix.sumdu.edu.ua) with the same distribution of points for the tasks.</w:t>
            </w:r>
          </w:p>
          <w:p w:rsidR="00F93F44" w:rsidRDefault="00F93F44">
            <w:p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Form of final control - differentiated credit.</w:t>
            </w:r>
          </w:p>
          <w:p w:rsidR="00F93F44" w:rsidRDefault="00F93F44">
            <w:pPr>
              <w:rPr>
                <w:rFonts w:ascii="Times New Roman" w:hAnsi="Times New Roman" w:cs="Times New Roman"/>
                <w:color w:val="000000" w:themeColor="text1"/>
                <w:sz w:val="26"/>
                <w:szCs w:val="26"/>
                <w:lang w:val="en-GB"/>
              </w:rPr>
            </w:pPr>
          </w:p>
        </w:tc>
      </w:tr>
      <w:tr w:rsidR="00F93F44" w:rsidTr="00F93F44">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pStyle w:val="HTML"/>
              <w:shd w:val="clear" w:color="auto" w:fill="F8F9FA"/>
              <w:spacing w:line="360" w:lineRule="auto"/>
              <w:rPr>
                <w:rFonts w:ascii="Times New Roman" w:hAnsi="Times New Roman" w:cs="Times New Roman"/>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10. Learning </w:t>
            </w:r>
            <w:r>
              <w:rPr>
                <w:rFonts w:ascii="Times New Roman" w:eastAsia="Arial Unicode MS" w:hAnsi="Times New Roman" w:cs="Times New Roman"/>
                <w:b/>
                <w:color w:val="000000" w:themeColor="text1"/>
                <w:sz w:val="26"/>
                <w:szCs w:val="26"/>
                <w:lang w:val="en-GB" w:eastAsia="ru-RU"/>
              </w:rPr>
              <w:t>resources</w:t>
            </w:r>
          </w:p>
        </w:tc>
      </w:tr>
      <w:tr w:rsidR="00F93F44" w:rsidTr="00F93F44">
        <w:trPr>
          <w:trHeight w:val="20"/>
        </w:trPr>
        <w:tc>
          <w:tcPr>
            <w:tcW w:w="1986"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93F44" w:rsidRDefault="00F93F44">
            <w:pPr>
              <w:pStyle w:val="HTML"/>
              <w:shd w:val="clear" w:color="auto" w:fill="F8F9FA"/>
              <w:spacing w:line="360" w:lineRule="auto"/>
              <w:rPr>
                <w:rFonts w:ascii="Times New Roman" w:hAnsi="Times New Roman" w:cs="Times New Roman"/>
                <w:bCs/>
                <w:iCs/>
                <w:color w:val="000000" w:themeColor="text1"/>
                <w:sz w:val="26"/>
                <w:szCs w:val="26"/>
                <w:lang w:val="en-GB" w:eastAsia="ru-RU"/>
              </w:rPr>
            </w:pPr>
            <w:r>
              <w:rPr>
                <w:rFonts w:ascii="Times New Roman" w:hAnsi="Times New Roman" w:cs="Times New Roman"/>
                <w:b/>
                <w:color w:val="000000" w:themeColor="text1"/>
                <w:sz w:val="26"/>
                <w:szCs w:val="26"/>
                <w:lang w:val="en-GB" w:eastAsia="ru-RU"/>
              </w:rPr>
              <w:t xml:space="preserve">10.1 Material and technical </w:t>
            </w:r>
            <w:r>
              <w:rPr>
                <w:rFonts w:ascii="Times New Roman" w:hAnsi="Times New Roman" w:cs="Times New Roman"/>
                <w:bCs/>
                <w:iCs/>
                <w:color w:val="000000" w:themeColor="text1"/>
                <w:sz w:val="26"/>
                <w:szCs w:val="26"/>
                <w:lang w:val="en-GB" w:eastAsia="ru-RU"/>
              </w:rPr>
              <w:br/>
            </w:r>
          </w:p>
          <w:p w:rsidR="00F93F44" w:rsidRDefault="00F93F44">
            <w:pPr>
              <w:pStyle w:val="HTML"/>
              <w:shd w:val="clear" w:color="auto" w:fill="F8F9FA"/>
              <w:spacing w:line="360" w:lineRule="auto"/>
              <w:rPr>
                <w:rFonts w:ascii="Times New Roman" w:hAnsi="Times New Roman" w:cs="Times New Roman"/>
                <w:color w:val="000000" w:themeColor="text1"/>
                <w:sz w:val="26"/>
                <w:szCs w:val="26"/>
                <w:lang w:val="en-GB" w:eastAsia="ru-RU"/>
              </w:rPr>
            </w:pPr>
            <w:r>
              <w:rPr>
                <w:rFonts w:ascii="Times New Roman" w:hAnsi="Times New Roman" w:cs="Times New Roman"/>
                <w:bCs/>
                <w:iCs/>
                <w:color w:val="000000" w:themeColor="text1"/>
                <w:sz w:val="26"/>
                <w:szCs w:val="26"/>
                <w:lang w:val="en-GB" w:eastAsia="ru-RU"/>
              </w:rPr>
              <w:t xml:space="preserve">  </w:t>
            </w:r>
            <w:r>
              <w:rPr>
                <w:rFonts w:ascii="Times New Roman" w:hAnsi="Times New Roman" w:cs="Times New Roman"/>
                <w:b/>
                <w:color w:val="000000" w:themeColor="text1"/>
                <w:sz w:val="26"/>
                <w:szCs w:val="26"/>
                <w:lang w:val="en-GB" w:eastAsia="ru-RU"/>
              </w:rPr>
              <w:t>support</w:t>
            </w:r>
          </w:p>
        </w:tc>
        <w:tc>
          <w:tcPr>
            <w:tcW w:w="3014" w:type="pct"/>
            <w:gridSpan w:val="2"/>
            <w:tcBorders>
              <w:top w:val="single" w:sz="4" w:space="0" w:color="auto"/>
              <w:left w:val="single" w:sz="4" w:space="0" w:color="auto"/>
              <w:bottom w:val="single" w:sz="4" w:space="0" w:color="auto"/>
              <w:right w:val="single" w:sz="4" w:space="0" w:color="auto"/>
            </w:tcBorders>
            <w:vAlign w:val="center"/>
          </w:tcPr>
          <w:p w:rsidR="00F93F44" w:rsidRDefault="00F93F44">
            <w:p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1. Multimedia, video, projection equipment (projectors, screens, smart boards)</w:t>
            </w:r>
          </w:p>
          <w:p w:rsidR="00F93F44" w:rsidRDefault="00F93F44">
            <w:pPr>
              <w:rPr>
                <w:rFonts w:ascii="Times New Roman" w:hAnsi="Times New Roman" w:cs="Times New Roman"/>
                <w:b/>
                <w:color w:val="000000" w:themeColor="text1"/>
                <w:sz w:val="26"/>
                <w:szCs w:val="26"/>
                <w:lang w:val="en-GB"/>
              </w:rPr>
            </w:pPr>
            <w:r>
              <w:rPr>
                <w:rFonts w:ascii="Times New Roman" w:hAnsi="Times New Roman" w:cs="Times New Roman"/>
                <w:color w:val="000000" w:themeColor="text1"/>
                <w:sz w:val="26"/>
                <w:szCs w:val="26"/>
                <w:lang w:val="en-GB"/>
              </w:rPr>
              <w:t>2. Computers, computer systems, and the Internet</w:t>
            </w:r>
            <w:r>
              <w:rPr>
                <w:rFonts w:ascii="Times New Roman" w:hAnsi="Times New Roman" w:cs="Times New Roman"/>
                <w:b/>
                <w:color w:val="000000" w:themeColor="text1"/>
                <w:sz w:val="26"/>
                <w:szCs w:val="26"/>
                <w:lang w:val="en-GB"/>
              </w:rPr>
              <w:t>.</w:t>
            </w:r>
          </w:p>
          <w:p w:rsidR="00F93F44" w:rsidRDefault="00F93F44">
            <w:pPr>
              <w:rPr>
                <w:rFonts w:ascii="Times New Roman" w:hAnsi="Times New Roman" w:cs="Times New Roman"/>
                <w:color w:val="000000" w:themeColor="text1"/>
                <w:sz w:val="26"/>
                <w:szCs w:val="26"/>
                <w:lang w:val="en-GB"/>
              </w:rPr>
            </w:pPr>
          </w:p>
        </w:tc>
      </w:tr>
      <w:tr w:rsidR="00F93F44" w:rsidTr="00F93F44">
        <w:trPr>
          <w:trHeight w:val="20"/>
        </w:trPr>
        <w:tc>
          <w:tcPr>
            <w:tcW w:w="1986"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F93F44" w:rsidRDefault="00F93F44">
            <w:pPr>
              <w:spacing w:line="360" w:lineRule="auto"/>
              <w:rPr>
                <w:rFonts w:ascii="Times New Roman" w:hAnsi="Times New Roman" w:cs="Times New Roman"/>
                <w:color w:val="000000" w:themeColor="text1"/>
                <w:sz w:val="26"/>
                <w:szCs w:val="26"/>
                <w:lang w:val="en-GB"/>
              </w:rPr>
            </w:pPr>
            <w:r>
              <w:rPr>
                <w:rFonts w:ascii="Times New Roman" w:hAnsi="Times New Roman" w:cs="Times New Roman"/>
                <w:b/>
                <w:color w:val="000000" w:themeColor="text1"/>
                <w:sz w:val="26"/>
                <w:szCs w:val="26"/>
                <w:lang w:val="en-GB"/>
              </w:rPr>
              <w:t>10.2 Information and methodical support</w:t>
            </w:r>
          </w:p>
        </w:tc>
        <w:tc>
          <w:tcPr>
            <w:tcW w:w="3014" w:type="pct"/>
            <w:gridSpan w:val="2"/>
            <w:tcBorders>
              <w:top w:val="single" w:sz="4" w:space="0" w:color="auto"/>
              <w:left w:val="single" w:sz="4" w:space="0" w:color="auto"/>
              <w:bottom w:val="single" w:sz="4" w:space="0" w:color="auto"/>
              <w:right w:val="single" w:sz="4" w:space="0" w:color="auto"/>
            </w:tcBorders>
            <w:vAlign w:val="center"/>
          </w:tcPr>
          <w:p w:rsidR="00F93F44" w:rsidRDefault="00F93F44">
            <w:pPr>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Educational literature (textbooks, tutorials)</w:t>
            </w:r>
          </w:p>
          <w:p w:rsidR="00F93F44" w:rsidRDefault="00F93F44" w:rsidP="00735EF0">
            <w:pPr>
              <w:pStyle w:val="a4"/>
              <w:numPr>
                <w:ilvl w:val="0"/>
                <w:numId w:val="1"/>
              </w:num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The Law of the European Union: a Textbook for Master Students / ed. P. </w:t>
            </w:r>
            <w:proofErr w:type="spellStart"/>
            <w:r>
              <w:rPr>
                <w:rFonts w:ascii="Times New Roman" w:hAnsi="Times New Roman" w:cs="Times New Roman"/>
                <w:color w:val="000000" w:themeColor="text1"/>
                <w:sz w:val="26"/>
                <w:szCs w:val="26"/>
                <w:lang w:val="en-GB"/>
              </w:rPr>
              <w:t>Biriukov</w:t>
            </w:r>
            <w:proofErr w:type="spellEnd"/>
            <w:r>
              <w:rPr>
                <w:rFonts w:ascii="Times New Roman" w:hAnsi="Times New Roman" w:cs="Times New Roman"/>
                <w:color w:val="000000" w:themeColor="text1"/>
                <w:sz w:val="26"/>
                <w:szCs w:val="26"/>
                <w:lang w:val="en-GB"/>
              </w:rPr>
              <w:t xml:space="preserve"> and V. </w:t>
            </w:r>
            <w:proofErr w:type="spellStart"/>
            <w:r>
              <w:rPr>
                <w:rFonts w:ascii="Times New Roman" w:hAnsi="Times New Roman" w:cs="Times New Roman"/>
                <w:color w:val="000000" w:themeColor="text1"/>
                <w:sz w:val="26"/>
                <w:szCs w:val="26"/>
                <w:lang w:val="en-GB"/>
              </w:rPr>
              <w:t>Tuliakov</w:t>
            </w:r>
            <w:proofErr w:type="spellEnd"/>
            <w:r>
              <w:rPr>
                <w:rFonts w:ascii="Times New Roman" w:hAnsi="Times New Roman" w:cs="Times New Roman"/>
                <w:color w:val="000000" w:themeColor="text1"/>
                <w:sz w:val="26"/>
                <w:szCs w:val="26"/>
                <w:lang w:val="en-GB"/>
              </w:rPr>
              <w:t>. Voronezh: VSU Publishing House, 2016. 476 p. URL:</w:t>
            </w:r>
            <w:r>
              <w:rPr>
                <w:rFonts w:hint="eastAsia"/>
                <w:lang w:val="en-GB"/>
              </w:rPr>
              <w:t xml:space="preserve"> </w:t>
            </w:r>
            <w:hyperlink r:id="rId6" w:history="1">
              <w:r>
                <w:rPr>
                  <w:rStyle w:val="a3"/>
                  <w:rFonts w:ascii="Times New Roman" w:hAnsi="Times New Roman" w:cs="Times New Roman"/>
                  <w:sz w:val="26"/>
                  <w:szCs w:val="26"/>
                  <w:lang w:val="en-GB"/>
                </w:rPr>
                <w:t>http://www.intlawvsu.ru/wp-content/uploads/2016/07/EU_Law_text.pdf</w:t>
              </w:r>
            </w:hyperlink>
          </w:p>
          <w:p w:rsidR="00F93F44" w:rsidRDefault="00F93F44" w:rsidP="00735EF0">
            <w:pPr>
              <w:pStyle w:val="a4"/>
              <w:numPr>
                <w:ilvl w:val="0"/>
                <w:numId w:val="1"/>
              </w:num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Florence </w:t>
            </w:r>
            <w:proofErr w:type="spellStart"/>
            <w:r>
              <w:rPr>
                <w:rFonts w:ascii="Times New Roman" w:hAnsi="Times New Roman" w:cs="Times New Roman"/>
                <w:color w:val="000000" w:themeColor="text1"/>
                <w:sz w:val="26"/>
                <w:szCs w:val="26"/>
                <w:lang w:val="en-GB"/>
              </w:rPr>
              <w:t>Benoît</w:t>
            </w:r>
            <w:proofErr w:type="spellEnd"/>
            <w:r>
              <w:rPr>
                <w:rFonts w:ascii="Times New Roman" w:hAnsi="Times New Roman" w:cs="Times New Roman"/>
                <w:color w:val="000000" w:themeColor="text1"/>
                <w:sz w:val="26"/>
                <w:szCs w:val="26"/>
                <w:lang w:val="en-GB"/>
              </w:rPr>
              <w:t xml:space="preserve">-Rohmer and Heinrich </w:t>
            </w:r>
            <w:proofErr w:type="spellStart"/>
            <w:r>
              <w:rPr>
                <w:rFonts w:ascii="Times New Roman" w:hAnsi="Times New Roman" w:cs="Times New Roman"/>
                <w:color w:val="000000" w:themeColor="text1"/>
                <w:sz w:val="26"/>
                <w:szCs w:val="26"/>
                <w:lang w:val="en-GB"/>
              </w:rPr>
              <w:t>Klebes</w:t>
            </w:r>
            <w:proofErr w:type="spellEnd"/>
            <w:r>
              <w:rPr>
                <w:rFonts w:ascii="Times New Roman" w:hAnsi="Times New Roman" w:cs="Times New Roman"/>
                <w:color w:val="000000" w:themeColor="text1"/>
                <w:sz w:val="26"/>
                <w:szCs w:val="26"/>
                <w:lang w:val="en-GB"/>
              </w:rPr>
              <w:t xml:space="preserve"> Council </w:t>
            </w:r>
            <w:r>
              <w:rPr>
                <w:rFonts w:ascii="Times New Roman" w:hAnsi="Times New Roman" w:cs="Times New Roman"/>
                <w:color w:val="000000" w:themeColor="text1"/>
                <w:sz w:val="26"/>
                <w:szCs w:val="26"/>
                <w:lang w:val="en-GB"/>
              </w:rPr>
              <w:lastRenderedPageBreak/>
              <w:t xml:space="preserve">of Europe law. Towards a pan-European legal area. Council of Europe, June 2015. URL: </w:t>
            </w:r>
            <w:hyperlink r:id="rId7" w:history="1">
              <w:r>
                <w:rPr>
                  <w:rStyle w:val="a3"/>
                  <w:rFonts w:ascii="Times New Roman" w:hAnsi="Times New Roman" w:cs="Times New Roman"/>
                  <w:sz w:val="26"/>
                  <w:szCs w:val="26"/>
                  <w:lang w:val="en-GB"/>
                </w:rPr>
                <w:t>http://www.supremecourt.ge/files/upload-file/pdf/coelaweng.pdf</w:t>
              </w:r>
            </w:hyperlink>
          </w:p>
          <w:p w:rsidR="00F93F44" w:rsidRDefault="00F93F44" w:rsidP="00735EF0">
            <w:pPr>
              <w:pStyle w:val="a4"/>
              <w:numPr>
                <w:ilvl w:val="0"/>
                <w:numId w:val="1"/>
              </w:num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Steiner J., Woods L. EU Law. New York</w:t>
            </w:r>
            <w:proofErr w:type="gramStart"/>
            <w:r>
              <w:rPr>
                <w:rFonts w:ascii="Times New Roman" w:hAnsi="Times New Roman" w:cs="Times New Roman"/>
                <w:color w:val="000000" w:themeColor="text1"/>
                <w:sz w:val="26"/>
                <w:szCs w:val="26"/>
                <w:lang w:val="en-GB"/>
              </w:rPr>
              <w:t>,  Oxford</w:t>
            </w:r>
            <w:proofErr w:type="gramEnd"/>
            <w:r>
              <w:rPr>
                <w:rFonts w:ascii="Times New Roman" w:hAnsi="Times New Roman" w:cs="Times New Roman"/>
                <w:color w:val="000000" w:themeColor="text1"/>
                <w:sz w:val="26"/>
                <w:szCs w:val="26"/>
                <w:lang w:val="en-GB"/>
              </w:rPr>
              <w:t xml:space="preserve"> University Press Inc., 2009. URL: </w:t>
            </w:r>
            <w:hyperlink r:id="rId8" w:history="1">
              <w:r>
                <w:rPr>
                  <w:rStyle w:val="a3"/>
                  <w:rFonts w:ascii="Times New Roman" w:hAnsi="Times New Roman" w:cs="Times New Roman"/>
                  <w:sz w:val="26"/>
                  <w:szCs w:val="26"/>
                  <w:lang w:val="en-GB"/>
                </w:rPr>
                <w:t>https://cms.uni-konstanz.de/fileadmin/archive/soz-eul/fileadmin/soziologie/fg-wiss/Books/Steiner_Woods_EULaw_Part1.pdf</w:t>
              </w:r>
            </w:hyperlink>
          </w:p>
          <w:p w:rsidR="00F93F44" w:rsidRDefault="00F93F44">
            <w:pPr>
              <w:rPr>
                <w:rFonts w:ascii="Times New Roman" w:hAnsi="Times New Roman" w:cs="Times New Roman"/>
                <w:b/>
                <w:color w:val="000000" w:themeColor="text1"/>
                <w:sz w:val="26"/>
                <w:szCs w:val="26"/>
                <w:lang w:val="en-GB"/>
              </w:rPr>
            </w:pPr>
          </w:p>
          <w:p w:rsidR="00F93F44" w:rsidRDefault="00F93F44">
            <w:pPr>
              <w:rPr>
                <w:rFonts w:ascii="Times New Roman" w:hAnsi="Times New Roman" w:cs="Times New Roman"/>
                <w:b/>
                <w:color w:val="000000" w:themeColor="text1"/>
                <w:sz w:val="26"/>
                <w:szCs w:val="26"/>
                <w:lang w:val="en-GB"/>
              </w:rPr>
            </w:pPr>
            <w:r>
              <w:rPr>
                <w:rFonts w:ascii="Times New Roman" w:hAnsi="Times New Roman" w:cs="Times New Roman"/>
                <w:b/>
                <w:color w:val="000000" w:themeColor="text1"/>
                <w:sz w:val="26"/>
                <w:szCs w:val="26"/>
                <w:lang w:val="en-GB"/>
              </w:rPr>
              <w:t>Additional recommended references and internet-sources</w:t>
            </w:r>
          </w:p>
          <w:p w:rsidR="00F93F44" w:rsidRDefault="00F93F44" w:rsidP="00735EF0">
            <w:pPr>
              <w:pStyle w:val="a4"/>
              <w:numPr>
                <w:ilvl w:val="0"/>
                <w:numId w:val="2"/>
              </w:num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European Convention on Human Rights. URL: </w:t>
            </w:r>
            <w:hyperlink r:id="rId9" w:history="1">
              <w:r>
                <w:rPr>
                  <w:rStyle w:val="a3"/>
                  <w:rFonts w:ascii="Times New Roman" w:hAnsi="Times New Roman" w:cs="Times New Roman"/>
                  <w:sz w:val="26"/>
                  <w:szCs w:val="26"/>
                  <w:lang w:val="en-GB"/>
                </w:rPr>
                <w:t>https://www.echr.coe.int/Documents/Convention_ENG.pdf</w:t>
              </w:r>
            </w:hyperlink>
          </w:p>
          <w:p w:rsidR="00F93F44" w:rsidRPr="00F93F44" w:rsidRDefault="00F93F44" w:rsidP="00735EF0">
            <w:pPr>
              <w:pStyle w:val="a4"/>
              <w:numPr>
                <w:ilvl w:val="0"/>
                <w:numId w:val="2"/>
              </w:numP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Access to EU Law</w:t>
            </w:r>
            <w:r w:rsidRPr="00F93F44">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en-GB"/>
              </w:rPr>
              <w:t>URL</w:t>
            </w:r>
            <w:r w:rsidRPr="00F93F44">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en-GB"/>
              </w:rPr>
              <w:t>https</w:t>
            </w:r>
            <w:r w:rsidRPr="00F93F44">
              <w:rPr>
                <w:rFonts w:ascii="Times New Roman" w:hAnsi="Times New Roman" w:cs="Times New Roman"/>
                <w:color w:val="000000" w:themeColor="text1"/>
                <w:sz w:val="26"/>
                <w:szCs w:val="26"/>
                <w:lang w:val="en-US"/>
              </w:rPr>
              <w:t>://</w:t>
            </w:r>
            <w:proofErr w:type="spellStart"/>
            <w:r>
              <w:rPr>
                <w:rFonts w:ascii="Times New Roman" w:hAnsi="Times New Roman" w:cs="Times New Roman"/>
                <w:color w:val="000000" w:themeColor="text1"/>
                <w:sz w:val="26"/>
                <w:szCs w:val="26"/>
                <w:lang w:val="en-GB"/>
              </w:rPr>
              <w:t>eur</w:t>
            </w:r>
            <w:proofErr w:type="spellEnd"/>
            <w:r w:rsidRPr="00F93F44">
              <w:rPr>
                <w:rFonts w:ascii="Times New Roman" w:hAnsi="Times New Roman" w:cs="Times New Roman"/>
                <w:color w:val="000000" w:themeColor="text1"/>
                <w:sz w:val="26"/>
                <w:szCs w:val="26"/>
                <w:lang w:val="en-US"/>
              </w:rPr>
              <w:t>-</w:t>
            </w:r>
            <w:proofErr w:type="spellStart"/>
            <w:r>
              <w:rPr>
                <w:rFonts w:ascii="Times New Roman" w:hAnsi="Times New Roman" w:cs="Times New Roman"/>
                <w:color w:val="000000" w:themeColor="text1"/>
                <w:sz w:val="26"/>
                <w:szCs w:val="26"/>
                <w:lang w:val="en-GB"/>
              </w:rPr>
              <w:t>lex</w:t>
            </w:r>
            <w:proofErr w:type="spellEnd"/>
            <w:r w:rsidRPr="00F93F44">
              <w:rPr>
                <w:rFonts w:ascii="Times New Roman" w:hAnsi="Times New Roman" w:cs="Times New Roman"/>
                <w:color w:val="000000" w:themeColor="text1"/>
                <w:sz w:val="26"/>
                <w:szCs w:val="26"/>
                <w:lang w:val="en-US"/>
              </w:rPr>
              <w:t>.</w:t>
            </w:r>
            <w:proofErr w:type="spellStart"/>
            <w:r>
              <w:rPr>
                <w:rFonts w:ascii="Times New Roman" w:hAnsi="Times New Roman" w:cs="Times New Roman"/>
                <w:color w:val="000000" w:themeColor="text1"/>
                <w:sz w:val="26"/>
                <w:szCs w:val="26"/>
                <w:lang w:val="en-GB"/>
              </w:rPr>
              <w:t>europa</w:t>
            </w:r>
            <w:proofErr w:type="spellEnd"/>
            <w:r w:rsidRPr="00F93F44">
              <w:rPr>
                <w:rFonts w:ascii="Times New Roman" w:hAnsi="Times New Roman" w:cs="Times New Roman"/>
                <w:color w:val="000000" w:themeColor="text1"/>
                <w:sz w:val="26"/>
                <w:szCs w:val="26"/>
                <w:lang w:val="en-US"/>
              </w:rPr>
              <w:t>.</w:t>
            </w:r>
            <w:proofErr w:type="spellStart"/>
            <w:r>
              <w:rPr>
                <w:rFonts w:ascii="Times New Roman" w:hAnsi="Times New Roman" w:cs="Times New Roman"/>
                <w:color w:val="000000" w:themeColor="text1"/>
                <w:sz w:val="26"/>
                <w:szCs w:val="26"/>
                <w:lang w:val="en-GB"/>
              </w:rPr>
              <w:t>eu</w:t>
            </w:r>
            <w:proofErr w:type="spellEnd"/>
            <w:r w:rsidRPr="00F93F44">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lang w:val="en-GB"/>
              </w:rPr>
              <w:t>homepage</w:t>
            </w:r>
            <w:r w:rsidRPr="00F93F44">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lang w:val="en-GB"/>
              </w:rPr>
              <w:t>html</w:t>
            </w:r>
          </w:p>
          <w:p w:rsidR="00F93F44" w:rsidRPr="00F93F44" w:rsidRDefault="00F93F44" w:rsidP="00735EF0">
            <w:pPr>
              <w:pStyle w:val="a4"/>
              <w:numPr>
                <w:ilvl w:val="0"/>
                <w:numId w:val="2"/>
              </w:numPr>
              <w:rPr>
                <w:rFonts w:ascii="Times New Roman" w:hAnsi="Times New Roman" w:cs="Times New Roman"/>
                <w:color w:val="000000" w:themeColor="text1"/>
                <w:sz w:val="26"/>
                <w:szCs w:val="26"/>
                <w:lang w:val="en-US"/>
              </w:rPr>
            </w:pPr>
            <w:r>
              <w:rPr>
                <w:rFonts w:ascii="Times New Roman" w:hAnsi="Times New Roman" w:cs="Times New Roman"/>
                <w:color w:val="000000" w:themeColor="text1"/>
                <w:sz w:val="26"/>
                <w:szCs w:val="26"/>
                <w:lang w:val="en-US"/>
              </w:rPr>
              <w:t xml:space="preserve">European Court of Human Rights. </w:t>
            </w:r>
            <w:r>
              <w:rPr>
                <w:rFonts w:ascii="Times New Roman" w:hAnsi="Times New Roman" w:cs="Times New Roman"/>
                <w:color w:val="000000" w:themeColor="text1"/>
                <w:sz w:val="26"/>
                <w:szCs w:val="26"/>
                <w:lang w:val="en-GB"/>
              </w:rPr>
              <w:t>URL</w:t>
            </w:r>
            <w:r w:rsidRPr="00F93F44">
              <w:rPr>
                <w:rFonts w:ascii="Times New Roman" w:hAnsi="Times New Roman" w:cs="Times New Roman"/>
                <w:color w:val="000000" w:themeColor="text1"/>
                <w:sz w:val="26"/>
                <w:szCs w:val="26"/>
                <w:lang w:val="en-US"/>
              </w:rPr>
              <w:t xml:space="preserve">:  </w:t>
            </w:r>
            <w:r>
              <w:rPr>
                <w:rFonts w:ascii="Times New Roman" w:hAnsi="Times New Roman" w:cs="Times New Roman"/>
                <w:color w:val="000000" w:themeColor="text1"/>
                <w:sz w:val="26"/>
                <w:szCs w:val="26"/>
                <w:lang w:val="en-GB"/>
              </w:rPr>
              <w:t>https</w:t>
            </w:r>
            <w:r w:rsidRPr="00F93F44">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lang w:val="en-GB"/>
              </w:rPr>
              <w:t>www</w:t>
            </w:r>
            <w:r w:rsidRPr="00F93F44">
              <w:rPr>
                <w:rFonts w:ascii="Times New Roman" w:hAnsi="Times New Roman" w:cs="Times New Roman"/>
                <w:color w:val="000000" w:themeColor="text1"/>
                <w:sz w:val="26"/>
                <w:szCs w:val="26"/>
                <w:lang w:val="en-US"/>
              </w:rPr>
              <w:t>.</w:t>
            </w:r>
            <w:proofErr w:type="spellStart"/>
            <w:r>
              <w:rPr>
                <w:rFonts w:ascii="Times New Roman" w:hAnsi="Times New Roman" w:cs="Times New Roman"/>
                <w:color w:val="000000" w:themeColor="text1"/>
                <w:sz w:val="26"/>
                <w:szCs w:val="26"/>
                <w:lang w:val="en-GB"/>
              </w:rPr>
              <w:t>echr</w:t>
            </w:r>
            <w:proofErr w:type="spellEnd"/>
            <w:r w:rsidRPr="00F93F44">
              <w:rPr>
                <w:rFonts w:ascii="Times New Roman" w:hAnsi="Times New Roman" w:cs="Times New Roman"/>
                <w:color w:val="000000" w:themeColor="text1"/>
                <w:sz w:val="26"/>
                <w:szCs w:val="26"/>
                <w:lang w:val="en-US"/>
              </w:rPr>
              <w:t>.</w:t>
            </w:r>
            <w:proofErr w:type="spellStart"/>
            <w:r>
              <w:rPr>
                <w:rFonts w:ascii="Times New Roman" w:hAnsi="Times New Roman" w:cs="Times New Roman"/>
                <w:color w:val="000000" w:themeColor="text1"/>
                <w:sz w:val="26"/>
                <w:szCs w:val="26"/>
                <w:lang w:val="en-GB"/>
              </w:rPr>
              <w:t>coe</w:t>
            </w:r>
            <w:proofErr w:type="spellEnd"/>
            <w:r w:rsidRPr="00F93F44">
              <w:rPr>
                <w:rFonts w:ascii="Times New Roman" w:hAnsi="Times New Roman" w:cs="Times New Roman"/>
                <w:color w:val="000000" w:themeColor="text1"/>
                <w:sz w:val="26"/>
                <w:szCs w:val="26"/>
                <w:lang w:val="en-US"/>
              </w:rPr>
              <w:t>.</w:t>
            </w:r>
            <w:proofErr w:type="spellStart"/>
            <w:r>
              <w:rPr>
                <w:rFonts w:ascii="Times New Roman" w:hAnsi="Times New Roman" w:cs="Times New Roman"/>
                <w:color w:val="000000" w:themeColor="text1"/>
                <w:sz w:val="26"/>
                <w:szCs w:val="26"/>
                <w:lang w:val="en-GB"/>
              </w:rPr>
              <w:t>int</w:t>
            </w:r>
            <w:proofErr w:type="spellEnd"/>
            <w:r w:rsidRPr="00F93F44">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lang w:val="en-GB"/>
              </w:rPr>
              <w:t>Pages</w:t>
            </w:r>
            <w:r w:rsidRPr="00F93F44">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lang w:val="en-GB"/>
              </w:rPr>
              <w:t>home</w:t>
            </w:r>
            <w:r w:rsidRPr="00F93F44">
              <w:rPr>
                <w:rFonts w:ascii="Times New Roman" w:hAnsi="Times New Roman" w:cs="Times New Roman"/>
                <w:color w:val="000000" w:themeColor="text1"/>
                <w:sz w:val="26"/>
                <w:szCs w:val="26"/>
                <w:lang w:val="en-US"/>
              </w:rPr>
              <w:t>.</w:t>
            </w:r>
            <w:proofErr w:type="spellStart"/>
            <w:r>
              <w:rPr>
                <w:rFonts w:ascii="Times New Roman" w:hAnsi="Times New Roman" w:cs="Times New Roman"/>
                <w:color w:val="000000" w:themeColor="text1"/>
                <w:sz w:val="26"/>
                <w:szCs w:val="26"/>
                <w:lang w:val="en-GB"/>
              </w:rPr>
              <w:t>aspx</w:t>
            </w:r>
            <w:proofErr w:type="spellEnd"/>
            <w:r w:rsidRPr="00F93F44">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lang w:val="en-GB"/>
              </w:rPr>
              <w:t>p</w:t>
            </w:r>
            <w:r w:rsidRPr="00F93F44">
              <w:rPr>
                <w:rFonts w:ascii="Times New Roman" w:hAnsi="Times New Roman" w:cs="Times New Roman"/>
                <w:color w:val="000000" w:themeColor="text1"/>
                <w:sz w:val="26"/>
                <w:szCs w:val="26"/>
                <w:lang w:val="en-US"/>
              </w:rPr>
              <w:t>=</w:t>
            </w:r>
            <w:r>
              <w:rPr>
                <w:rFonts w:ascii="Times New Roman" w:hAnsi="Times New Roman" w:cs="Times New Roman"/>
                <w:color w:val="000000" w:themeColor="text1"/>
                <w:sz w:val="26"/>
                <w:szCs w:val="26"/>
                <w:lang w:val="en-GB"/>
              </w:rPr>
              <w:t>applicants</w:t>
            </w:r>
            <w:r w:rsidRPr="00F93F44">
              <w:rPr>
                <w:rFonts w:ascii="Times New Roman" w:hAnsi="Times New Roman" w:cs="Times New Roman"/>
                <w:color w:val="000000" w:themeColor="text1"/>
                <w:sz w:val="26"/>
                <w:szCs w:val="26"/>
                <w:lang w:val="en-US"/>
              </w:rPr>
              <w:t>/</w:t>
            </w:r>
            <w:proofErr w:type="spellStart"/>
            <w:r>
              <w:rPr>
                <w:rFonts w:ascii="Times New Roman" w:hAnsi="Times New Roman" w:cs="Times New Roman"/>
                <w:color w:val="000000" w:themeColor="text1"/>
                <w:sz w:val="26"/>
                <w:szCs w:val="26"/>
                <w:lang w:val="en-GB"/>
              </w:rPr>
              <w:t>ukr</w:t>
            </w:r>
            <w:proofErr w:type="spellEnd"/>
            <w:r w:rsidRPr="00F93F44">
              <w:rPr>
                <w:rFonts w:ascii="Times New Roman" w:hAnsi="Times New Roman" w:cs="Times New Roman"/>
                <w:color w:val="000000" w:themeColor="text1"/>
                <w:sz w:val="26"/>
                <w:szCs w:val="26"/>
                <w:lang w:val="en-US"/>
              </w:rPr>
              <w:t>&amp;</w:t>
            </w:r>
            <w:r>
              <w:rPr>
                <w:rFonts w:ascii="Times New Roman" w:hAnsi="Times New Roman" w:cs="Times New Roman"/>
                <w:color w:val="000000" w:themeColor="text1"/>
                <w:sz w:val="26"/>
                <w:szCs w:val="26"/>
                <w:lang w:val="en-GB"/>
              </w:rPr>
              <w:t>c</w:t>
            </w:r>
            <w:r w:rsidRPr="00F93F44">
              <w:rPr>
                <w:rFonts w:ascii="Times New Roman" w:hAnsi="Times New Roman" w:cs="Times New Roman"/>
                <w:color w:val="000000" w:themeColor="text1"/>
                <w:sz w:val="26"/>
                <w:szCs w:val="26"/>
                <w:lang w:val="en-US"/>
              </w:rPr>
              <w:t>=</w:t>
            </w:r>
          </w:p>
          <w:p w:rsidR="00F93F44" w:rsidRDefault="00F93F44" w:rsidP="00735EF0">
            <w:pPr>
              <w:pStyle w:val="a4"/>
              <w:numPr>
                <w:ilvl w:val="0"/>
                <w:numId w:val="2"/>
              </w:num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 xml:space="preserve">Global Future. Council on Europe: A New Manifesto for Europe. June 2019. URL: </w:t>
            </w:r>
            <w:hyperlink r:id="rId10" w:history="1">
              <w:r>
                <w:rPr>
                  <w:rStyle w:val="a3"/>
                  <w:rFonts w:ascii="Times New Roman" w:hAnsi="Times New Roman" w:cs="Times New Roman"/>
                  <w:sz w:val="26"/>
                  <w:szCs w:val="26"/>
                  <w:lang w:val="en-GB"/>
                </w:rPr>
                <w:t>http://www3.weforum.org/docs/WEF_New_Manifesto_for_Europe_GFC_Europe_2019.pdf</w:t>
              </w:r>
            </w:hyperlink>
          </w:p>
          <w:p w:rsidR="00F93F44" w:rsidRDefault="00F93F44" w:rsidP="00735EF0">
            <w:pPr>
              <w:pStyle w:val="a4"/>
              <w:numPr>
                <w:ilvl w:val="0"/>
                <w:numId w:val="2"/>
              </w:numPr>
              <w:rPr>
                <w:rFonts w:ascii="Times New Roman" w:hAnsi="Times New Roman" w:cs="Times New Roman"/>
                <w:color w:val="000000" w:themeColor="text1"/>
                <w:sz w:val="26"/>
                <w:szCs w:val="26"/>
                <w:lang w:val="en-GB"/>
              </w:rPr>
            </w:pPr>
            <w:r>
              <w:rPr>
                <w:rFonts w:ascii="Times New Roman" w:hAnsi="Times New Roman" w:cs="Times New Roman"/>
                <w:color w:val="000000" w:themeColor="text1"/>
                <w:sz w:val="26"/>
                <w:szCs w:val="26"/>
                <w:lang w:val="en-GB"/>
              </w:rPr>
              <w:t>Soft Law, Self-Regulation and Co-Regulation in European Law: Where Do They Meet? Electronic Journal of Comparative Law, Vol. 9, No. 1, January 2015.  URL: https://papers.ssrn.com/sol3/papers.cfm?abstract_id=943063</w:t>
            </w:r>
          </w:p>
          <w:p w:rsidR="00F93F44" w:rsidRDefault="00F93F44" w:rsidP="00735EF0">
            <w:pPr>
              <w:pStyle w:val="a4"/>
              <w:numPr>
                <w:ilvl w:val="0"/>
                <w:numId w:val="2"/>
              </w:numPr>
              <w:rPr>
                <w:rFonts w:ascii="Times New Roman" w:hAnsi="Times New Roman" w:cs="Times New Roman"/>
                <w:color w:val="000000" w:themeColor="text1"/>
                <w:sz w:val="26"/>
                <w:szCs w:val="26"/>
                <w:lang w:val="en-GB"/>
              </w:rPr>
            </w:pPr>
            <w:proofErr w:type="spellStart"/>
            <w:r>
              <w:rPr>
                <w:rFonts w:ascii="Times New Roman" w:hAnsi="Times New Roman" w:cs="Times New Roman"/>
                <w:color w:val="000000" w:themeColor="text1"/>
                <w:sz w:val="26"/>
                <w:szCs w:val="26"/>
                <w:lang w:val="en-GB"/>
              </w:rPr>
              <w:t>Spano</w:t>
            </w:r>
            <w:proofErr w:type="spellEnd"/>
            <w:r>
              <w:rPr>
                <w:rFonts w:ascii="Times New Roman" w:hAnsi="Times New Roman" w:cs="Times New Roman"/>
                <w:color w:val="000000" w:themeColor="text1"/>
                <w:sz w:val="26"/>
                <w:szCs w:val="26"/>
                <w:lang w:val="en-GB"/>
              </w:rPr>
              <w:t>, Robert. The Future of the European Court of Human Rights—Subsidiarity, Process-Based Review and the Rule of Law. Human Rights Law Review, Volume 18, Issue 3, September 2018, Pages 473–494 URL: https://academic.oup.com/hrlr/article/18/3/473/4999870</w:t>
            </w:r>
          </w:p>
        </w:tc>
      </w:tr>
    </w:tbl>
    <w:p w:rsidR="009878D3" w:rsidRDefault="009878D3"/>
    <w:sectPr w:rsidR="009878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277D"/>
    <w:multiLevelType w:val="hybridMultilevel"/>
    <w:tmpl w:val="3F28396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1F565FD1"/>
    <w:multiLevelType w:val="hybridMultilevel"/>
    <w:tmpl w:val="54C8E71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9ED"/>
    <w:rsid w:val="002A69ED"/>
    <w:rsid w:val="009878D3"/>
    <w:rsid w:val="00F93F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4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93F44"/>
    <w:rPr>
      <w:color w:val="000080"/>
      <w:u w:val="single"/>
    </w:rPr>
  </w:style>
  <w:style w:type="paragraph" w:styleId="HTML">
    <w:name w:val="HTML Preformatted"/>
    <w:basedOn w:val="a"/>
    <w:link w:val="HTML0"/>
    <w:uiPriority w:val="99"/>
    <w:unhideWhenUsed/>
    <w:rsid w:val="00F93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uk-UA"/>
    </w:rPr>
  </w:style>
  <w:style w:type="character" w:customStyle="1" w:styleId="HTML0">
    <w:name w:val="Стандартный HTML Знак"/>
    <w:basedOn w:val="a0"/>
    <w:link w:val="HTML"/>
    <w:uiPriority w:val="99"/>
    <w:rsid w:val="00F93F44"/>
    <w:rPr>
      <w:rFonts w:ascii="Courier New" w:eastAsia="Times New Roman" w:hAnsi="Courier New" w:cs="Courier New"/>
      <w:sz w:val="20"/>
      <w:szCs w:val="20"/>
      <w:lang w:eastAsia="uk-UA"/>
    </w:rPr>
  </w:style>
  <w:style w:type="paragraph" w:styleId="a4">
    <w:name w:val="List Paragraph"/>
    <w:basedOn w:val="a"/>
    <w:uiPriority w:val="34"/>
    <w:qFormat/>
    <w:rsid w:val="00F93F44"/>
    <w:pPr>
      <w:ind w:left="720"/>
      <w:contextualSpacing/>
    </w:pPr>
  </w:style>
  <w:style w:type="character" w:customStyle="1" w:styleId="fontstyle01">
    <w:name w:val="fontstyle01"/>
    <w:basedOn w:val="a0"/>
    <w:rsid w:val="00F93F44"/>
    <w:rPr>
      <w:rFonts w:ascii="Times New Roman" w:hAnsi="Times New Roman" w:cs="Times New Roman" w:hint="default"/>
      <w:b w:val="0"/>
      <w:bCs w:val="0"/>
      <w:i w:val="0"/>
      <w:iCs w:val="0"/>
      <w:color w:val="000000"/>
      <w:sz w:val="28"/>
      <w:szCs w:val="28"/>
    </w:rPr>
  </w:style>
  <w:style w:type="table" w:styleId="a5">
    <w:name w:val="Table Grid"/>
    <w:basedOn w:val="a1"/>
    <w:uiPriority w:val="59"/>
    <w:rsid w:val="00F93F44"/>
    <w:pPr>
      <w:spacing w:after="0" w:line="240" w:lineRule="auto"/>
    </w:pPr>
    <w:rPr>
      <w:rFonts w:ascii="Arial Unicode MS" w:eastAsia="Arial Unicode MS" w:hAnsi="Arial Unicode MS" w:cs="Arial Unicode MS"/>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44"/>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F93F44"/>
    <w:rPr>
      <w:color w:val="000080"/>
      <w:u w:val="single"/>
    </w:rPr>
  </w:style>
  <w:style w:type="paragraph" w:styleId="HTML">
    <w:name w:val="HTML Preformatted"/>
    <w:basedOn w:val="a"/>
    <w:link w:val="HTML0"/>
    <w:uiPriority w:val="99"/>
    <w:unhideWhenUsed/>
    <w:rsid w:val="00F93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uk-UA"/>
    </w:rPr>
  </w:style>
  <w:style w:type="character" w:customStyle="1" w:styleId="HTML0">
    <w:name w:val="Стандартный HTML Знак"/>
    <w:basedOn w:val="a0"/>
    <w:link w:val="HTML"/>
    <w:uiPriority w:val="99"/>
    <w:rsid w:val="00F93F44"/>
    <w:rPr>
      <w:rFonts w:ascii="Courier New" w:eastAsia="Times New Roman" w:hAnsi="Courier New" w:cs="Courier New"/>
      <w:sz w:val="20"/>
      <w:szCs w:val="20"/>
      <w:lang w:eastAsia="uk-UA"/>
    </w:rPr>
  </w:style>
  <w:style w:type="paragraph" w:styleId="a4">
    <w:name w:val="List Paragraph"/>
    <w:basedOn w:val="a"/>
    <w:uiPriority w:val="34"/>
    <w:qFormat/>
    <w:rsid w:val="00F93F44"/>
    <w:pPr>
      <w:ind w:left="720"/>
      <w:contextualSpacing/>
    </w:pPr>
  </w:style>
  <w:style w:type="character" w:customStyle="1" w:styleId="fontstyle01">
    <w:name w:val="fontstyle01"/>
    <w:basedOn w:val="a0"/>
    <w:rsid w:val="00F93F44"/>
    <w:rPr>
      <w:rFonts w:ascii="Times New Roman" w:hAnsi="Times New Roman" w:cs="Times New Roman" w:hint="default"/>
      <w:b w:val="0"/>
      <w:bCs w:val="0"/>
      <w:i w:val="0"/>
      <w:iCs w:val="0"/>
      <w:color w:val="000000"/>
      <w:sz w:val="28"/>
      <w:szCs w:val="28"/>
    </w:rPr>
  </w:style>
  <w:style w:type="table" w:styleId="a5">
    <w:name w:val="Table Grid"/>
    <w:basedOn w:val="a1"/>
    <w:uiPriority w:val="59"/>
    <w:rsid w:val="00F93F44"/>
    <w:pPr>
      <w:spacing w:after="0" w:line="240" w:lineRule="auto"/>
    </w:pPr>
    <w:rPr>
      <w:rFonts w:ascii="Arial Unicode MS" w:eastAsia="Arial Unicode MS" w:hAnsi="Arial Unicode MS" w:cs="Arial Unicode MS"/>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8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uni-konstanz.de/fileadmin/archive/soz-eul/fileadmin/soziologie/fg-wiss/Books/Steiner_Woods_EULaw_Part1.pdf" TargetMode="External"/><Relationship Id="rId3" Type="http://schemas.microsoft.com/office/2007/relationships/stylesWithEffects" Target="stylesWithEffects.xml"/><Relationship Id="rId7" Type="http://schemas.openxmlformats.org/officeDocument/2006/relationships/hyperlink" Target="http://www.supremecourt.ge/files/upload-file/pdf/coelaweng.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lawvsu.ru/wp-content/uploads/2016/07/EU_Law_text.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3.weforum.org/docs/WEF_New_Manifesto_for_Europe_GFC_Europe_2019.pdf" TargetMode="External"/><Relationship Id="rId4" Type="http://schemas.openxmlformats.org/officeDocument/2006/relationships/settings" Target="settings.xml"/><Relationship Id="rId9" Type="http://schemas.openxmlformats.org/officeDocument/2006/relationships/hyperlink" Target="https://www.echr.coe.int/Documents/Convention_E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11686</Words>
  <Characters>6662</Characters>
  <Application>Microsoft Office Word</Application>
  <DocSecurity>0</DocSecurity>
  <Lines>55</Lines>
  <Paragraphs>36</Paragraphs>
  <ScaleCrop>false</ScaleCrop>
  <Company>Home</Company>
  <LinksUpToDate>false</LinksUpToDate>
  <CharactersWithSpaces>18312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2</cp:revision>
  <dcterms:created xsi:type="dcterms:W3CDTF">2020-01-27T07:55:00Z</dcterms:created>
  <dcterms:modified xsi:type="dcterms:W3CDTF">2020-01-27T07:57:00Z</dcterms:modified>
</cp:coreProperties>
</file>